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440001-2024-05466</w:t>
      </w:r>
    </w:p>
    <w:p>
      <w:pPr>
        <w:jc w:val="center"/>
      </w:pPr>
      <w:r>
        <w:rPr>
          <w:b/>
          <w:sz w:val="24"/>
        </w:rPr>
        <w:t>采购项目编号：</w:t>
      </w:r>
      <w:r>
        <w:rPr>
          <w:b/>
          <w:sz w:val="24"/>
        </w:rPr>
        <w:t>GZGK24P019B0079C</w:t>
      </w:r>
    </w:p>
    <w:p>
      <w:pPr>
        <w:jc w:val="center"/>
      </w:pPr>
      <w:r>
        <w:rPr>
          <w:b/>
          <w:sz w:val="24"/>
        </w:rPr>
        <w:t>项目名称：</w:t>
      </w:r>
      <w:r>
        <w:rPr>
          <w:b/>
          <w:sz w:val="24"/>
        </w:rPr>
        <w:t>南方医科大学口腔医院（广东省口腔医院）盘福院区更换10KV电缆工程</w:t>
      </w:r>
    </w:p>
    <w:p>
      <w:pPr>
        <w:jc w:val="center"/>
      </w:pPr>
      <w:r>
        <w:rPr>
          <w:b/>
          <w:sz w:val="24"/>
        </w:rPr>
        <w:t>采购人：</w:t>
      </w:r>
      <w:r>
        <w:rPr>
          <w:b/>
          <w:sz w:val="24"/>
        </w:rPr>
        <w:t>南方医科大学口腔医院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南方医科大学口腔医院</w:t>
      </w:r>
      <w:r>
        <w:rPr/>
        <w:t>的委托，采用</w:t>
      </w:r>
      <w:r>
        <w:rPr/>
        <w:t>竞争性磋商</w:t>
      </w:r>
      <w:r>
        <w:rPr/>
        <w:t>方式组织采购</w:t>
      </w:r>
      <w:r>
        <w:rPr/>
        <w:t>南方医科大学口腔医院（广东省口腔医院）盘福院区更换10KV电缆工程</w:t>
      </w:r>
      <w:r>
        <w:rPr/>
        <w:t>。欢迎符合资格条件的供应商参加。</w:t>
      </w:r>
    </w:p>
    <w:p>
      <w:r>
        <w:rPr>
          <w:b/>
          <w:sz w:val="28"/>
        </w:rPr>
        <w:t>一.项目概述</w:t>
      </w:r>
    </w:p>
    <w:p>
      <w:r>
        <w:rPr>
          <w:b/>
          <w:sz w:val="24"/>
        </w:rPr>
        <w:t>1.名称与编号</w:t>
      </w:r>
    </w:p>
    <w:p>
      <w:pPr>
        <w:ind w:firstLine="480"/>
      </w:pPr>
      <w:r>
        <w:rPr/>
        <w:t>采购项目名称：</w:t>
      </w:r>
      <w:r>
        <w:rPr/>
        <w:t>南方医科大学口腔医院（广东省口腔医院）盘福院区更换10KV电缆工程</w:t>
      </w:r>
    </w:p>
    <w:p>
      <w:pPr>
        <w:ind w:firstLine="480"/>
      </w:pPr>
      <w:r>
        <w:rPr/>
        <w:t>采购计划编号：</w:t>
      </w:r>
      <w:r>
        <w:rPr/>
        <w:t>440001-2024-05466</w:t>
      </w:r>
    </w:p>
    <w:p>
      <w:pPr>
        <w:ind w:firstLine="480"/>
      </w:pPr>
      <w:r>
        <w:rPr/>
        <w:t>采购项目编号：</w:t>
      </w:r>
      <w:r>
        <w:rPr/>
        <w:t>GZGK24P019B0079C</w:t>
      </w:r>
    </w:p>
    <w:p>
      <w:pPr>
        <w:ind w:firstLine="480"/>
      </w:pPr>
      <w:r>
        <w:rPr/>
        <w:t>采购方式：</w:t>
      </w:r>
      <w:r>
        <w:rPr/>
        <w:t>竞争性磋商</w:t>
      </w:r>
    </w:p>
    <w:p>
      <w:pPr>
        <w:ind w:firstLine="480"/>
      </w:pPr>
      <w:r>
        <w:rPr/>
        <w:t>预算金额：</w:t>
      </w:r>
      <w:r>
        <w:rPr/>
        <w:t>1,200,000.00</w:t>
      </w:r>
      <w:r>
        <w:rPr/>
        <w:t>元</w:t>
      </w:r>
    </w:p>
    <w:p>
      <w:r>
        <w:rPr>
          <w:b/>
          <w:sz w:val="24"/>
        </w:rPr>
        <w:t>2.项目内容及需求情况（采购项目技术规格、参数及要求）</w:t>
      </w:r>
    </w:p>
    <w:p>
      <w:pPr>
        <w:ind w:firstLine="480"/>
      </w:pPr>
    </w:p>
    <w:p/>
    <w:p>
      <w:r>
        <w:rPr/>
        <w:t>采购包1(盘福院区更换10KV电缆工程):</w:t>
      </w:r>
    </w:p>
    <w:p>
      <w:r>
        <w:rPr/>
        <w:t>采购包预算金额：1,200,000.00元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其他电力系统安装</w:t>
            </w:r>
          </w:p>
        </w:tc>
        <w:tc>
          <w:tcPr>
            <w:tcW w:type="dxa" w:w="2136"/>
          </w:tcPr>
          <w:p>
            <w:r>
              <w:rPr/>
              <w:t>盘福院区更换10KV电缆工程</w:t>
            </w:r>
          </w:p>
        </w:tc>
        <w:tc>
          <w:tcPr>
            <w:tcW w:type="dxa" w:w="1187"/>
          </w:tcPr>
          <w:p>
            <w:r>
              <w:rPr/>
              <w:t>1.00(项)</w:t>
            </w:r>
          </w:p>
        </w:tc>
        <w:tc>
          <w:tcPr>
            <w:tcW w:type="dxa" w:w="1187"/>
          </w:tcPr>
          <w:p>
            <w:r>
              <w:rPr/>
              <w:t>详见第二章</w:t>
            </w:r>
          </w:p>
        </w:tc>
        <w:tc>
          <w:tcPr>
            <w:tcW w:type="dxa" w:w="1187"/>
          </w:tcPr>
          <w:p>
            <w:r>
              <w:rPr/>
              <w:t>否</w:t>
            </w:r>
          </w:p>
        </w:tc>
      </w:tr>
    </w:tbl>
    <w:p/>
    <w:p>
      <w:r>
        <w:rPr/>
        <w:t>本采购包接受联合体响应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响应时提交有效的营业执照（或事业法人登记证等相关证明）副本复印件。分支机构响应的，须提供总公司和分公司营业执照副本复印件，总公司出具给分支机构的授权书。</w:t>
      </w:r>
    </w:p>
    <w:p/>
    <w:p>
      <w:r>
        <w:rPr/>
        <w:t>2）有依法缴纳税收和社会保障资金的良好记录：提供磋商截止日前6个月内任意1个月依法缴纳税收和社会保障资金的相关材料。如依法免税或不需要缴纳社会保障资金的，提供相应证明材料。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3）具有良好的商业信誉和健全的财务会计制度：供应商必须具有良好的商业信誉和健全的财务会计制度（提供2022年度或2023年度财务状况报告或基本开户行出具的资信证明）。</w:t>
      </w:r>
    </w:p>
    <w:p/>
    <w:p>
      <w:r>
        <w:rPr/>
        <w:t>4）履行合同所必需的设备和专业技术能力：提供书面承诺声明函（格式自拟）或具有履行合同所必须的设备和专业技术能力的其他证明材料。</w:t>
      </w:r>
    </w:p>
    <w:p/>
    <w:p>
      <w:r>
        <w:rPr/>
        <w:t>5）参加采购活动前3年内，在经营活动中没有重大违法记录：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采购包1（盘福院区更换10KV电缆工程）：</w:t>
      </w:r>
      <w:r>
        <w:rPr/>
        <w:t>采购包整体专门面向中小企业，工程的承建商须为中小微企业或监狱企业或残疾人福利性单位。</w:t>
      </w:r>
    </w:p>
    <w:p/>
    <w:p>
      <w:r>
        <w:rPr>
          <w:b/>
          <w:sz w:val="24"/>
        </w:rPr>
        <w:t>3.本项目特定的资格要求：</w:t>
      </w:r>
    </w:p>
    <w:p>
      <w:pPr>
        <w:ind w:firstLine="480"/>
      </w:pPr>
    </w:p>
    <w:p/>
    <w:p>
      <w:r>
        <w:rPr/>
        <w:t>采购包1（盘福院区更换10KV电缆工程）：</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2)单位负责人为同一人或者存在直接控股、管理关系的不同供应商，不得同时参加本采购项目响应。 为本项目提供整体设计、规范编制或者项目管理、监理、检测等服务的供应商，不得再参与本项目响应。 响应承诺函相关承诺要求内容。</w:t>
      </w:r>
    </w:p>
    <w:p/>
    <w:p>
      <w:r>
        <w:rPr/>
        <w:t>3)1）响应供应商须同时具备以下资质： ①工程设计资质：工程设计综合甲级资质，或工程设计资质【电力行业设计丙级（或以上）资质，或电力行业（送电工程）专业设计丙级（或以上）资质】。  香港企业作为设计方单独参加响应的，须在广东省住房和城乡建设主管部门备案且备案的业务范围为基建及发展类别第一组。 注:a.国内申请人具体资质要求按照《建设工程勘察设计资质管理规定》（建设部令第160号）、《建设工程勘察设计资质管理规定实施意见》（建市[2007]202号）、《工程勘察、工程设计资质分级标准补充规定》（建设[2001]178号）、《工程设计资质标准》（建市〔2007〕86号）和《住房城乡建设部关于简化建筑业企业资质标准部分指标的通知》(建市[2016]226号)、《住房和城乡建设部办公厅关于建设工程企业资质有关事宜的通知》（建办市函〔2022〕361号）、《住房和城乡建设部办公厅关于做好建筑业“证照分离”改革衔接有关工作的通知》（建办市〔2021〕30号）、《广东省住房和城乡建设厅关于建设工程企业资质有关事宜的通知》（粤建许函〔2022〕846号）要求设置。 b.香港企业备案的业务范围依据《广东省住房和城乡建设厅关于印发香港工程建设咨询企业和专业人士在粤港澳大湾区内地城市开业执业试点管理暂行办法的通知》（粤建规范〔2020〕1号，详见链接：http://zfcxjst.gd.gov.cn/xxgk/wjtz/content/post_3137220.html）确定。 ②施工资质：具有电力工程施工总承包三级（或以上）资质或输变电工程专业承包三级（或以上）资质及有效的《承装（修、试）电力设施许可证》，许可等级为五级（或以上），提供证书复印件， 并具有建设行政主管部门颁发的安全生产许可证。 注：资质内容按照建市[2014]159号文颁布的新版《建筑业企业资质标准》中对应的资质类别及等级的承包工程范围和《住房城乡建设部关于建筑业企业资质管理有关问题的通知》（建市[2015]154号）、《住房城乡建设部关于简化建筑业企业资质标准部分指标的通知》(建市[2016]226号)、《住房和城乡建设部办公厅关于做好建筑业“证照分离”改革衔接有关工作的通知》（建办市〔2021〕30号）、《住房和城乡建设部办公厅关于建设工程企业资质有关事宜的通知》（建办市函〔2022〕361号）、《广东省住房和城乡建设厅关于建设工程企业资质有关事宜的通知》（粤建许函〔2022〕846号）的要求设置。 2）项目负责人（兼施工项目负责人）为机电工程专业二级或以上级别的注册建造师，并持有安全生产考核合格证（B类）或建筑施工企业项目负责人安全生产考核合格证书； 注：响应供应商应提供有效的二级建造师执业资格证书，实行电子注册证书的，打印建造师电子证书后，项目负责人应在个人签名处手写本人签名，提交的证书未手写签名或与签名图像笔迹不一致的，该电子证书无效。 3）设计负责人为电力工程相关专业中级（或以上）工程师；设计负责人与项目负责人不能为同一人。 4）拟投入的专职安全员须具有安全生产考核合格证（C类）或建筑施工企业专职安全生产管理人员安全生产考核合格证书（C3）。 5）拟任本工程项目负责人、设计负责人、安全员3项人员不得兼任。</w:t>
      </w:r>
    </w:p>
    <w:p/>
    <w:p>
      <w:r>
        <w:rPr/>
        <w:t>4)已获取本项目采购文件。</w:t>
      </w:r>
    </w:p>
    <w:p/>
    <w:p>
      <w:r>
        <w:rPr/>
        <w:t>5)本项目接受联合体响应。联合体响应的，应满足下列要求： 1）联合体响应的，应以承接施工任务的单位为牵头方，并签订联合体共同响应协议书，联合体共同响应协议书应明确确定联合体牵头方以及约定各方拟承担的工作和责任。联合体各方不得再以自己名义单独或加入其他联合体参加本项目的响应。组成联合体承接按资质标准划分为同一类工程的响应供应商，其人员、资金、机械设备等资源性指标在资格审查、择优和评标环节可合并计算。 2）联合体中按资质标准划分为同一类工程的成员单位，均应满足响应供应商人资格要求（除项目负责人、专职安全员由联合体牵头方提供并满足响应资格要求外）对本类资格条件的要求。联合体的资格条件按联合体任务分工进行评审，其中施工资质、安全生产许可证以承接施工任务的成员单位为准；项目负责人、专职安全员以联合体牵头方为准；工程设计资质、设计负责人以承接设计任务的成员单位为准；由同一专业的单位组成的联合体，按照资质等级较低的单位确定资质等级。 3）允许联合体投标，但只接受最多由2家单位（1家设计单位、1家施工单位）组成的联合体，联合体中承担工程施工任务的一方为主办方，其余成员为协办方。并签定《联合体协议书》。《联合体协议书》应明确约定各方拟承担的工作和责任。</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南方医科大学口腔医院</w:t>
      </w:r>
    </w:p>
    <w:p>
      <w:pPr>
        <w:ind w:firstLine="480"/>
      </w:pPr>
      <w:r>
        <w:rPr/>
        <w:t>地址：</w:t>
      </w:r>
      <w:r>
        <w:rPr/>
        <w:t>广州市海珠区江南大道南366号</w:t>
      </w:r>
    </w:p>
    <w:p>
      <w:pPr>
        <w:ind w:firstLine="480"/>
      </w:pPr>
      <w:r>
        <w:rPr/>
        <w:t>联系方式：</w:t>
      </w:r>
      <w:r>
        <w:rPr/>
        <w:t>020-34037250</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020-86704134、020-87687817</w:t>
      </w:r>
    </w:p>
    <w:p>
      <w:r>
        <w:rPr>
          <w:b/>
          <w:sz w:val="24"/>
        </w:rPr>
        <w:t>3.项目联系方式</w:t>
      </w:r>
    </w:p>
    <w:p>
      <w:pPr>
        <w:ind w:firstLine="480"/>
      </w:pPr>
      <w:r>
        <w:rPr/>
        <w:t>项目联系人：</w:t>
      </w:r>
      <w:r>
        <w:rPr/>
        <w:t>梁伟雄、梁思瑶</w:t>
      </w:r>
    </w:p>
    <w:p>
      <w:pPr>
        <w:ind w:firstLine="480"/>
      </w:pPr>
      <w:r>
        <w:rPr/>
        <w:t>电话：</w:t>
      </w:r>
      <w:r>
        <w:rPr/>
        <w:t>020-86704134、020-87687817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GZGK24P019B0079C</w:t>
      </w:r>
    </w:p>
    <w:p>
      <w:pPr>
        <w:jc w:val="both"/>
      </w:pPr>
      <w:r>
        <w:rPr>
          <w:b/>
          <w:sz w:val="21"/>
        </w:rPr>
        <w:t>（二）</w:t>
      </w:r>
      <w:r>
        <w:rPr>
          <w:b/>
          <w:sz w:val="21"/>
        </w:rPr>
        <w:t>项目名称：</w:t>
      </w:r>
      <w:r>
        <w:rPr>
          <w:sz w:val="21"/>
        </w:rPr>
        <w:t>南方医科大学口腔医院（广东省口腔医院）盘福院区更换</w:t>
      </w:r>
      <w:r>
        <w:rPr>
          <w:sz w:val="21"/>
        </w:rPr>
        <w:t>10KV电缆工程</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，响应供应商如有一项带</w:t>
      </w:r>
      <w:r>
        <w:rPr>
          <w:sz w:val="21"/>
        </w:rPr>
        <w:t>“★”的条款未响应或负偏离，将按无效响应处理。</w:t>
      </w:r>
    </w:p>
    <w:p>
      <w:pPr>
        <w:jc w:val="both"/>
      </w:pPr>
      <w:r>
        <w:rPr>
          <w:sz w:val="21"/>
        </w:rPr>
        <w:t>2、</w:t>
      </w:r>
      <w:r>
        <w:rPr>
          <w:sz w:val="21"/>
        </w:rPr>
        <w:t>标有</w:t>
      </w:r>
      <w:r>
        <w:rPr>
          <w:sz w:val="21"/>
        </w:rPr>
        <w:t>“▲”的条款为重要性要求，响应供应商如有“▲”的条款未响应或负偏离的将被严重扣分。</w:t>
      </w:r>
    </w:p>
    <w:p>
      <w:pPr>
        <w:jc w:val="both"/>
      </w:pPr>
      <w:r>
        <w:rPr>
          <w:sz w:val="21"/>
        </w:rPr>
        <w:t>3、</w:t>
      </w:r>
      <w:r>
        <w:rPr>
          <w:sz w:val="21"/>
        </w:rPr>
        <w:t>响应供应商应在响应详细内容中列出具体响应内容。如果响应供应商只注明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响应供应商没有在响应文件中注明偏离（文字说明或在响应表注明）的条款视为被响应供应商完全接受。</w:t>
      </w:r>
    </w:p>
    <w:p>
      <w:pPr>
        <w:jc w:val="both"/>
      </w:pPr>
      <w:r>
        <w:rPr>
          <w:sz w:val="21"/>
        </w:rPr>
        <w:t>5、</w:t>
      </w:r>
      <w:r>
        <w:rPr>
          <w:sz w:val="21"/>
        </w:rPr>
        <w:t>不允许成交供应商</w:t>
      </w:r>
      <w:r>
        <w:rPr>
          <w:sz w:val="21"/>
        </w:rPr>
        <w:t>转包、分包项目内容</w:t>
      </w:r>
      <w:r>
        <w:rPr>
          <w:sz w:val="21"/>
        </w:rPr>
        <w:t>。</w:t>
      </w:r>
    </w:p>
    <w:p>
      <w:pPr>
        <w:jc w:val="both"/>
      </w:pPr>
      <w:r>
        <w:rPr>
          <w:sz w:val="21"/>
        </w:rPr>
        <w:t>6、</w:t>
      </w:r>
      <w:r>
        <w:rPr>
          <w:sz w:val="21"/>
        </w:rPr>
        <w:t>小型和微型企业、监狱企业和残疾人福利性单位必须按照磋商须知的内容提供相应的资料。</w:t>
      </w:r>
    </w:p>
    <w:p>
      <w:pPr>
        <w:jc w:val="both"/>
      </w:pPr>
      <w:r>
        <w:rPr>
          <w:sz w:val="21"/>
        </w:rPr>
        <w:t>7、</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w:t>
      </w:r>
      <w:r>
        <w:rPr>
          <w:color w:val="333333"/>
          <w:sz w:val="21"/>
        </w:rPr>
        <w:t>8、</w:t>
      </w:r>
      <w:r>
        <w:rPr>
          <w:sz w:val="21"/>
        </w:rPr>
        <w:t>响应供应商除填报总报价外，需同时提供分项报价表，填报设计费报价、施工费报价等子项单价报价，总报价超过最高限价的为无效</w:t>
      </w:r>
      <w:r>
        <w:rPr>
          <w:sz w:val="21"/>
        </w:rPr>
        <w:t>响应</w:t>
      </w:r>
      <w:r>
        <w:rPr>
          <w:sz w:val="21"/>
        </w:rPr>
        <w:t>。</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“新供应商开标大厅”进行签到及响应文件的解密，签到需在开标时间前</w:t>
      </w:r>
      <w:r>
        <w:rPr>
          <w:sz w:val="21"/>
        </w:rPr>
        <w:t>30</w:t>
      </w:r>
      <w:r>
        <w:rPr>
          <w:sz w:val="21"/>
        </w:rPr>
        <w:t>分钟内完成，不需要委派代表前往开标现场。但为了保证开标程序顺利、高效地完成，响应供应商亦可委派代表携带</w:t>
      </w:r>
      <w:r>
        <w:rPr>
          <w:sz w:val="21"/>
        </w:rPr>
        <w:t>CA-key</w:t>
      </w:r>
      <w:r>
        <w:rPr>
          <w:sz w:val="21"/>
        </w:rPr>
        <w:t>、存储有非加密响应文件的</w:t>
      </w:r>
      <w:r>
        <w:rPr>
          <w:sz w:val="21"/>
        </w:rPr>
        <w:t>U</w:t>
      </w:r>
      <w:r>
        <w:rPr>
          <w:sz w:val="21"/>
        </w:rPr>
        <w:t>盘及纸质响应文件前往开标现场进行签到、解密。</w:t>
      </w:r>
    </w:p>
    <w:p>
      <w:pPr>
        <w:jc w:val="both"/>
      </w:pPr>
      <w:r>
        <w:rPr>
          <w:sz w:val="21"/>
        </w:rPr>
        <w:t>2、</w:t>
      </w:r>
      <w:r>
        <w:rPr>
          <w:sz w:val="21"/>
        </w:rPr>
        <w:t>纸质响应文件邮寄地址（邮寄地址：广州市先烈中路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收件人及电话：详见项目公告的项目联系人）。响应供应商如选择邮寄响应文件，请提前安排时间邮寄，务必保证响应文件于提交响应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采用竞争性谈判、竞争性磋商或单一来源采购方式的项目，进入评标阶段时，如需进行谈判或磋商的，供应商登录云平台通过</w:t>
      </w:r>
      <w:r>
        <w:rPr>
          <w:sz w:val="21"/>
        </w:rPr>
        <w:t>“等候大厅”对专家发起的谈判或磋商进行响应。</w:t>
      </w:r>
    </w:p>
    <w:p>
      <w:pPr>
        <w:jc w:val="both"/>
      </w:pPr>
      <w:r>
        <w:rPr>
          <w:sz w:val="21"/>
        </w:rPr>
        <w:t>4、</w:t>
      </w:r>
      <w:r>
        <w:rPr>
          <w:sz w:val="21"/>
        </w:rPr>
        <w:t>上述流程中供应商电脑需提前安装</w:t>
      </w:r>
      <w:r>
        <w:rPr>
          <w:sz w:val="21"/>
        </w:rPr>
        <w:t>CA</w:t>
      </w:r>
      <w:r>
        <w:rPr>
          <w:sz w:val="21"/>
        </w:rPr>
        <w:t>签章客户端，并运行</w:t>
      </w:r>
      <w:r>
        <w:rPr>
          <w:sz w:val="21"/>
        </w:rPr>
        <w:t>CA</w:t>
      </w:r>
      <w:r>
        <w:rPr>
          <w:sz w:val="21"/>
        </w:rPr>
        <w:t>证书。</w:t>
      </w:r>
    </w:p>
    <w:p>
      <w:pPr>
        <w:jc w:val="both"/>
      </w:pPr>
      <w:r>
        <w:rPr>
          <w:sz w:val="21"/>
        </w:rPr>
        <w:t>5、</w:t>
      </w:r>
      <w:r>
        <w:rPr>
          <w:b/>
          <w:sz w:val="21"/>
        </w:rPr>
        <w:t>请各响应供应商在编制响应文件时注意，涉及到签字或签章的地方，请按要求签字或签章后再上传系统。响应文件加密前请注意所有需要签字、签章、盖章的地方是否齐全无缺漏。请保管好</w:t>
      </w:r>
      <w:r>
        <w:rPr>
          <w:b/>
          <w:sz w:val="21"/>
        </w:rPr>
        <w:t>CA</w:t>
      </w:r>
      <w:r>
        <w:rPr>
          <w:b/>
          <w:sz w:val="21"/>
        </w:rPr>
        <w:t>证书的密码，如遗忘，请及时重置，以免影响响应文件的解密。</w:t>
      </w:r>
    </w:p>
    <w:p>
      <w:pPr>
        <w:jc w:val="both"/>
      </w:pPr>
      <w:r>
        <w:rPr>
          <w:sz w:val="21"/>
        </w:rPr>
        <w:t>6、</w:t>
      </w:r>
      <w:r>
        <w:rPr>
          <w:b/>
          <w:sz w:val="21"/>
        </w:rPr>
        <w:t>联合体响应的，除《联合体共同响应协议书》必须联合体各方分别按要求进行签字、盖章外，响应文件封面及其他内容落款中的</w:t>
      </w:r>
      <w:r>
        <w:rPr>
          <w:b/>
          <w:sz w:val="21"/>
        </w:rPr>
        <w:t>“响应供应商”应填写联合体各方的单位全称【格式为：(主)XXXX公司(成)XXXX公司(成)……】，由联合体牵头方签字、盖章即可。</w:t>
      </w:r>
    </w:p>
    <w:p>
      <w:pPr>
        <w:jc w:val="both"/>
      </w:pPr>
      <w:r>
        <w:rPr>
          <w:b/>
          <w:sz w:val="21"/>
        </w:rPr>
        <w:t>（五）</w:t>
      </w:r>
      <w:r>
        <w:rPr>
          <w:b/>
          <w:sz w:val="21"/>
        </w:rPr>
        <w:t>响应报价说明：</w:t>
      </w:r>
    </w:p>
    <w:p>
      <w:pPr>
        <w:ind w:firstLine="420"/>
        <w:jc w:val="both"/>
      </w:pPr>
      <w:r>
        <w:rPr>
          <w:sz w:val="21"/>
        </w:rPr>
        <w:t>1、响应供应商的响应总报价，包括设计费、施工费、</w:t>
      </w:r>
      <w:r>
        <w:rPr>
          <w:sz w:val="21"/>
        </w:rPr>
        <w:t>设备材料货款、设计（场地和供电系统）、土建工程施工、货物包装、安装、伴随零配件、标配工具、运至合同指定地点的运输费、装卸费、仓储费、保险费、税金、技术培训费、安装调试、现场清理、售后服务及合同实施过程中不可预见等相关服务费。如响应报价中漏报、少报的费用，视为此项费用已隐含在响应报价中</w:t>
      </w:r>
      <w:r>
        <w:rPr>
          <w:sz w:val="21"/>
        </w:rPr>
        <w:t>。响应供应商应按照磋商文件的工期、建设地点要求，完成本项目工作的全部费用，包括但不限于完成全部设计、建安工程工作的成本、利润、税金、技术措施费、大型机械进出场费、风险费以及政策性文件规定费用等，不得以任何理由予以重复计算。</w:t>
      </w:r>
    </w:p>
    <w:p>
      <w:pPr>
        <w:ind w:firstLine="420"/>
        <w:jc w:val="both"/>
      </w:pPr>
      <w:r>
        <w:rPr>
          <w:sz w:val="21"/>
        </w:rPr>
        <w:t>2、响应总报价由设计费报价和施工费报价组成。本项目设计、施工报价采用数值报价方式，根据响应供应商的响应总报价及各分项报价结合最高限价换算报价下浮率，项目最终按照报价下浮率按实结算。报价下浮率以百分比计，精确到小数点后2位，响应供应商对每一分项（如设计、施工）只能报一个数值报价，数值总报价以万元计。</w:t>
      </w:r>
    </w:p>
    <w:p>
      <w:r>
        <w:rPr>
          <w:sz w:val="21"/>
        </w:rPr>
        <w:t>3、</w:t>
      </w:r>
      <w:r>
        <w:rPr>
          <w:sz w:val="21"/>
        </w:rPr>
        <w:t>成交的分项报价和总报价仅为参考合同价，不作为竣工结算的依据，在概预算编制完成前可作为拨付工程进度款的依据。本项目施工图审查通过后，根据最终确认的施工图纸，由成交供应商采用清单模式编制施工图预算作为建安工程费，经第三方咨询机构审定概预算并经行业主管部门审批通过后，按报价下浮率及合同约定的方法，得出合同价格清单，以此合同价格清单作为进度款支付和结算计价的依据。以经审批的建安工程费为基础，按报价下浮率及合同约定的方法计算出的最终设计费，作为设计费结算的依据。设计费、施工费结算原则以合同约定为准。</w:t>
      </w:r>
    </w:p>
    <w:p>
      <w:r>
        <w:rPr>
          <w:sz w:val="21"/>
        </w:rPr>
        <w:t>4、</w:t>
      </w:r>
      <w:r>
        <w:rPr>
          <w:sz w:val="21"/>
        </w:rPr>
        <w:t>施工图审查备案完成后，原则上不允许成交供应商提出设计变更，确需变更的按相关基本程序办理。因成交供应商原因（包括错、漏、碰等设计失误）产生的设计变更</w:t>
      </w:r>
      <w:r>
        <w:rPr>
          <w:sz w:val="21"/>
        </w:rPr>
        <w:t>,</w:t>
      </w:r>
      <w:r>
        <w:rPr>
          <w:sz w:val="21"/>
        </w:rPr>
        <w:t>所增加的费用，由成交供应商承担。</w:t>
      </w:r>
    </w:p>
    <w:p>
      <w:r>
        <w:rPr>
          <w:sz w:val="21"/>
        </w:rPr>
        <w:t>5、</w:t>
      </w:r>
      <w:r>
        <w:rPr>
          <w:sz w:val="21"/>
        </w:rPr>
        <w:t>采购人有权根据实际情况对建设内容进行调整。采购人减少的项目无论有无替代，采购人都不予补偿。</w:t>
      </w:r>
    </w:p>
    <w:p>
      <w:pPr>
        <w:ind w:firstLine="420"/>
        <w:jc w:val="both"/>
      </w:pPr>
      <w:r>
        <w:rPr>
          <w:sz w:val="21"/>
        </w:rPr>
        <w:t>6</w:t>
      </w:r>
      <w:r>
        <w:rPr>
          <w:sz w:val="21"/>
        </w:rPr>
        <w:t>、</w:t>
      </w:r>
      <w:r>
        <w:rPr>
          <w:sz w:val="21"/>
        </w:rPr>
        <w:t>货物应在响应报价清单中注明货物的产地、生产厂家、品牌、规格、型号、防火等级等，一经成交且签订合同，即成为合同的组成部分。</w:t>
      </w:r>
    </w:p>
    <w:p>
      <w:pPr>
        <w:ind w:firstLine="420"/>
        <w:jc w:val="both"/>
      </w:pPr>
      <w:r>
        <w:rPr>
          <w:sz w:val="21"/>
        </w:rPr>
        <w:t>7、响应供应商应在响应文件中注明货物生产主要原材料的产地、生产厂家、品牌、规格、型号、防火等级等，一经成交且签订合同，即成为合同的组成部分，成交供应商不得更改。如确需更换，成交供应商必须提供同等档次或以上的原材料，经采购人同意，价格不予调整。</w:t>
      </w:r>
    </w:p>
    <w:p>
      <w:pPr>
        <w:ind w:firstLine="420"/>
        <w:jc w:val="both"/>
      </w:pPr>
      <w:r>
        <w:rPr>
          <w:sz w:val="21"/>
        </w:rPr>
        <w:t>8、项目报价响应时应充分考虑项目的组织、设计、经验、能力、市场价格和企业的承受能力等方面的综合因素进行响应报价。如项目实施期间原材料、人工等市场价格发生变化等，货物的成交价格一律不得进行调整。</w:t>
      </w:r>
    </w:p>
    <w:p>
      <w:pPr>
        <w:ind w:firstLine="420"/>
        <w:jc w:val="both"/>
      </w:pPr>
      <w:r>
        <w:rPr>
          <w:sz w:val="21"/>
        </w:rPr>
        <w:t>9、 项目报价响应时应考虑文明施工所需的一切费用，并应充分考虑施工期间各类材料的市场风险和国家政策性调整风险系数。</w:t>
      </w:r>
    </w:p>
    <w:p>
      <w:pPr>
        <w:ind w:firstLine="420"/>
        <w:jc w:val="both"/>
      </w:pPr>
      <w:r>
        <w:rPr>
          <w:sz w:val="21"/>
        </w:rPr>
        <w:t>10、项目报价响应时应考虑项目实施过程中的电费、水费、排水费、余泥排放、现场维护及管理所涉及的费用，计入报价，一次包干。</w:t>
      </w:r>
    </w:p>
    <w:p>
      <w:pPr>
        <w:ind w:firstLine="420"/>
        <w:jc w:val="both"/>
      </w:pPr>
      <w:r>
        <w:rPr>
          <w:sz w:val="21"/>
        </w:rPr>
        <w:t>11、采购人有权在签订合同时对项目方案作适当调整或修改，合同总价不变。</w:t>
      </w:r>
    </w:p>
    <w:p>
      <w:pPr>
        <w:ind w:firstLine="420"/>
        <w:jc w:val="both"/>
      </w:pPr>
      <w:r>
        <w:rPr>
          <w:sz w:val="21"/>
        </w:rPr>
        <w:t>12、项目报价应为综合报价（人民币含税价），应包含施工设备、劳务、管理、材料、安装、维修、保险、利润、政策性文件规定及合同包含的所有风险、责任等各项应有费用。</w:t>
      </w:r>
    </w:p>
    <w:p>
      <w:pPr>
        <w:ind w:firstLine="420"/>
        <w:jc w:val="both"/>
      </w:pPr>
      <w:r>
        <w:rPr>
          <w:sz w:val="21"/>
        </w:rPr>
        <w:t>13、工程项目预算书编制应遵守以下的依据及规则。</w:t>
      </w:r>
    </w:p>
    <w:p>
      <w:pPr>
        <w:ind w:firstLine="420"/>
        <w:jc w:val="both"/>
      </w:pPr>
      <w:r>
        <w:rPr>
          <w:sz w:val="21"/>
        </w:rPr>
        <w:t>13.1采用工程量清单计价模式（按设计图纸、设备材料清册及设计方提供的相关设计资料等进行编制），由响应供应商根据实际情况自行报价。</w:t>
      </w:r>
    </w:p>
    <w:p>
      <w:pPr>
        <w:ind w:firstLine="420"/>
        <w:jc w:val="both"/>
      </w:pPr>
      <w:r>
        <w:rPr>
          <w:sz w:val="21"/>
        </w:rPr>
        <w:t>13.2有定额编码的按国家定额编码报价，未有编码的按各公司实际情况报价。</w:t>
      </w:r>
    </w:p>
    <w:p>
      <w:pPr>
        <w:ind w:firstLine="420"/>
        <w:jc w:val="both"/>
      </w:pPr>
      <w:r>
        <w:rPr>
          <w:sz w:val="21"/>
        </w:rPr>
        <w:t>13.3分项报价表要详细列明各项费用的综合单价及综合单价分析。</w:t>
      </w:r>
    </w:p>
    <w:p>
      <w:pPr>
        <w:ind w:firstLine="420"/>
        <w:jc w:val="both"/>
      </w:pPr>
      <w:r>
        <w:rPr>
          <w:sz w:val="21"/>
        </w:rPr>
        <w:t>14、本工程项目报价的工程量清单计价标准（注：按最新现行标准，包括但不限于以下内容）:</w:t>
      </w:r>
    </w:p>
    <w:p>
      <w:pPr>
        <w:ind w:firstLine="420"/>
        <w:jc w:val="both"/>
      </w:pPr>
      <w:r>
        <w:rPr>
          <w:sz w:val="21"/>
        </w:rPr>
        <w:t>14.1《电气工程工程量清单计价规范》（2013)。</w:t>
      </w:r>
    </w:p>
    <w:p>
      <w:pPr>
        <w:ind w:firstLine="420"/>
        <w:jc w:val="both"/>
      </w:pPr>
      <w:r>
        <w:rPr>
          <w:sz w:val="21"/>
        </w:rPr>
        <w:t>14.2《市政工程工程量清单计价规范》（2013)。</w:t>
      </w:r>
    </w:p>
    <w:p>
      <w:pPr>
        <w:ind w:firstLine="420"/>
        <w:jc w:val="both"/>
      </w:pPr>
      <w:r>
        <w:rPr>
          <w:sz w:val="21"/>
        </w:rPr>
        <w:t>14.3《广东省市政工程综合定额》（2018年）。</w:t>
      </w:r>
    </w:p>
    <w:p>
      <w:pPr>
        <w:ind w:firstLine="420"/>
        <w:jc w:val="both"/>
      </w:pPr>
      <w:r>
        <w:rPr>
          <w:sz w:val="21"/>
        </w:rPr>
        <w:t>14.4《广东省建筑与装饰工程综合定额》（2018年）。</w:t>
      </w:r>
    </w:p>
    <w:p>
      <w:pPr>
        <w:ind w:firstLine="420"/>
        <w:jc w:val="both"/>
      </w:pPr>
      <w:r>
        <w:rPr>
          <w:sz w:val="21"/>
        </w:rPr>
        <w:t>14.5《广东省安装工程综合定额》（2018年）。</w:t>
      </w:r>
    </w:p>
    <w:p>
      <w:pPr>
        <w:ind w:firstLine="420"/>
        <w:jc w:val="both"/>
      </w:pPr>
      <w:r>
        <w:rPr>
          <w:sz w:val="21"/>
        </w:rPr>
        <w:t>14.6材料价格按照相应实施期间广东政府建设工程材料指导价格。</w:t>
      </w:r>
    </w:p>
    <w:p>
      <w:pPr>
        <w:ind w:firstLine="420"/>
        <w:jc w:val="both"/>
      </w:pPr>
      <w:r>
        <w:rPr>
          <w:sz w:val="21"/>
        </w:rPr>
        <w:t>14.7相关规费执行广州市有关标准。</w:t>
      </w:r>
    </w:p>
    <w:p>
      <w:pPr>
        <w:ind w:firstLine="420"/>
        <w:jc w:val="both"/>
      </w:pPr>
      <w:r>
        <w:rPr>
          <w:sz w:val="21"/>
        </w:rPr>
        <w:t>15、工程量清单应与报价须知、工程规范和施工设计图纸一起使用。</w:t>
      </w:r>
    </w:p>
    <w:p>
      <w:pPr>
        <w:ind w:firstLine="420"/>
        <w:jc w:val="both"/>
      </w:pPr>
      <w:r>
        <w:rPr>
          <w:sz w:val="21"/>
        </w:rPr>
        <w:t>16、响应供应商必须清楚本项目的招标控制价已包含本项目的造价咨询费0.000元，响应供应商报价时必须考虑把此项费用包含在响应报价中，响应供应商成交后须向招标代理机构支付该项费用。</w:t>
      </w:r>
    </w:p>
    <w:p>
      <w:pPr>
        <w:ind w:firstLine="420"/>
        <w:jc w:val="both"/>
      </w:pPr>
      <w:r>
        <w:rPr>
          <w:sz w:val="21"/>
        </w:rPr>
        <w:t>★17本项目最高限价为人民币120万元，响应报价超过本项目最高限价的响应文件为无效响应文件；磋商小组认为响应供应商的报价明显低于其他通过符合性审查响应供应商的报价，有可能影响产品质量或者不能诚信履约的，应当要求其在合理的时间内提供书面说明，必要时提交相关证明材料；响应供应商不能证明其报价合理性的，磋商小组应当将其作为无效响应处理。</w:t>
      </w:r>
    </w:p>
    <w:p>
      <w:pPr>
        <w:ind w:firstLine="420"/>
        <w:jc w:val="both"/>
      </w:pPr>
      <w:r>
        <w:rPr>
          <w:sz w:val="21"/>
        </w:rPr>
        <w:t>1</w:t>
      </w:r>
      <w:r>
        <w:rPr>
          <w:sz w:val="21"/>
        </w:rPr>
        <w:t>8</w:t>
      </w:r>
      <w:r>
        <w:rPr>
          <w:sz w:val="21"/>
        </w:rPr>
        <w:t>、</w:t>
      </w:r>
      <w:r>
        <w:rPr>
          <w:sz w:val="21"/>
        </w:rPr>
        <w:t>本项目为交钥匙工程，实行固定总价包干，项目措施费包干</w:t>
      </w:r>
      <w:r>
        <w:rPr>
          <w:sz w:val="21"/>
        </w:rPr>
        <w:t>，在合同实施时，采购人将不予支付成交供应商没有列入的项目费用，并认为此项目的费用已包括在总报价中。</w:t>
      </w:r>
    </w:p>
    <w:p/>
    <w:p>
      <w:pPr>
        <w:jc w:val="both"/>
      </w:pPr>
      <w:r>
        <w:rPr>
          <w:b/>
          <w:sz w:val="21"/>
        </w:rPr>
        <w:t>（六）</w:t>
      </w:r>
      <w:r>
        <w:rPr>
          <w:b/>
          <w:sz w:val="21"/>
        </w:rPr>
        <w:t>实现的目标</w:t>
      </w:r>
    </w:p>
    <w:p>
      <w:pPr>
        <w:jc w:val="both"/>
      </w:pPr>
      <w:r>
        <w:rPr>
          <w:sz w:val="21"/>
        </w:rPr>
        <w:t>质量标准：合格</w:t>
      </w:r>
    </w:p>
    <w:p>
      <w:pPr>
        <w:jc w:val="both"/>
      </w:pPr>
      <w:r>
        <w:rPr>
          <w:sz w:val="21"/>
        </w:rPr>
        <w:t>保修期：</w:t>
      </w:r>
      <w:r>
        <w:rPr>
          <w:sz w:val="21"/>
        </w:rPr>
        <w:t>按照《建设工程质量管理条例》规定。</w:t>
      </w:r>
    </w:p>
    <w:p>
      <w:r>
        <w:rPr>
          <w:sz w:val="21"/>
        </w:rPr>
        <w:t>建设工程质量检测管理办法：根据《建设工程质量检测管理办法》（建设部令第</w:t>
      </w:r>
      <w:r>
        <w:rPr>
          <w:sz w:val="21"/>
        </w:rPr>
        <w:t>141</w:t>
      </w:r>
      <w:r>
        <w:rPr>
          <w:sz w:val="21"/>
        </w:rPr>
        <w:t>号）第十二条规定，建设工程质量、安全检测业务应由建设单位依法委托。建设单位和成交供应商均不得委托近二年（从招标公告发布年度起逆推</w:t>
      </w:r>
      <w:r>
        <w:rPr>
          <w:sz w:val="21"/>
        </w:rPr>
        <w:t>2</w:t>
      </w:r>
      <w:r>
        <w:rPr>
          <w:sz w:val="21"/>
        </w:rPr>
        <w:t>年的</w:t>
      </w:r>
      <w:r>
        <w:rPr>
          <w:sz w:val="21"/>
        </w:rPr>
        <w:t>1</w:t>
      </w:r>
      <w:r>
        <w:rPr>
          <w:sz w:val="21"/>
        </w:rPr>
        <w:t>月</w:t>
      </w:r>
      <w:r>
        <w:rPr>
          <w:sz w:val="21"/>
        </w:rPr>
        <w:t>1</w:t>
      </w:r>
      <w:r>
        <w:rPr>
          <w:sz w:val="21"/>
        </w:rPr>
        <w:t>日起至响应截止时间止）因伪造检测数据、出具虚假检测报告被各级建设行政主管部门或市场监督管理部门行政处罚或通报的检测单位负责本项目的检测工作。</w:t>
      </w:r>
    </w:p>
    <w:p>
      <w:pPr>
        <w:jc w:val="both"/>
      </w:pPr>
      <w:r>
        <w:rPr>
          <w:b/>
          <w:sz w:val="21"/>
        </w:rPr>
        <w:t>（七）</w:t>
      </w:r>
      <w:r>
        <w:rPr>
          <w:b/>
          <w:sz w:val="21"/>
        </w:rPr>
        <w:t>需执行国家相关标准、行业标准、地方标准或者其他标准、规范</w:t>
      </w:r>
    </w:p>
    <w:p>
      <w:pPr>
        <w:ind w:firstLine="420"/>
        <w:jc w:val="both"/>
      </w:pPr>
      <w:r>
        <w:rPr>
          <w:sz w:val="21"/>
        </w:rPr>
        <w:t>1</w:t>
      </w:r>
      <w:r>
        <w:rPr>
          <w:sz w:val="21"/>
        </w:rPr>
        <w:t>、</w:t>
      </w:r>
      <w:r>
        <w:rPr>
          <w:sz w:val="21"/>
        </w:rPr>
        <w:t>本项目设计成果文件应按</w:t>
      </w:r>
      <w:r>
        <w:rPr>
          <w:sz w:val="21"/>
        </w:rPr>
        <w:t>《建筑工程设计文件编制深度规定》要求。</w:t>
      </w:r>
    </w:p>
    <w:p>
      <w:pPr>
        <w:ind w:firstLine="420"/>
        <w:jc w:val="both"/>
      </w:pPr>
      <w:r>
        <w:rPr>
          <w:sz w:val="21"/>
        </w:rPr>
        <w:t>2</w:t>
      </w:r>
      <w:r>
        <w:rPr>
          <w:sz w:val="21"/>
        </w:rPr>
        <w:t>、</w:t>
      </w:r>
      <w:r>
        <w:rPr>
          <w:sz w:val="21"/>
        </w:rPr>
        <w:t>本项目施工</w:t>
      </w:r>
      <w:r>
        <w:rPr>
          <w:sz w:val="21"/>
        </w:rPr>
        <w:t>具体按施工图纸、中华人民共和国现行技术和验收规范、图纸中规定的其它技术和验收标准、遵照采购人相关规定要求为准。</w:t>
      </w:r>
    </w:p>
    <w:p>
      <w:pPr>
        <w:ind w:firstLine="420"/>
        <w:jc w:val="both"/>
      </w:pPr>
      <w:r>
        <w:rPr>
          <w:sz w:val="21"/>
        </w:rPr>
        <w:t>3</w:t>
      </w:r>
      <w:r>
        <w:rPr>
          <w:sz w:val="21"/>
        </w:rPr>
        <w:t>、本项目的材料、设备、施工须达到中华人民共和国以及省、市或行业的工程建设标准、规范的要求。</w:t>
      </w:r>
    </w:p>
    <w:p>
      <w:pPr>
        <w:ind w:firstLine="420"/>
        <w:jc w:val="both"/>
      </w:pPr>
      <w:r>
        <w:rPr/>
        <w:t xml:space="preserve"> </w:t>
      </w:r>
    </w:p>
    <w:p/>
    <w:p>
      <w:pPr>
        <w:ind w:firstLine="480"/>
      </w:pPr>
    </w:p>
    <w:p/>
    <w:p>
      <w:r>
        <w:rPr/>
        <w:t>采购包1（盘福院区更换10KV电缆工程）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总工期：合同签订后100天个日历天内交付使用</w:t>
            </w:r>
          </w:p>
        </w:tc>
      </w:tr>
      <w:tr>
        <w:tc>
          <w:tcPr>
            <w:tcW w:type="dxa" w:w="4153"/>
          </w:tcPr>
          <w:p>
            <w:r>
              <w:rPr/>
              <w:t>标的提供的地点</w:t>
            </w:r>
          </w:p>
        </w:tc>
        <w:tc>
          <w:tcPr>
            <w:tcW w:type="dxa" w:w="4153"/>
          </w:tcPr>
          <w:p/>
          <w:p>
            <w:r>
              <w:rPr/>
              <w:t>采购人指定地点（广州市越秀区盘福路13-35号）。</w:t>
            </w:r>
          </w:p>
        </w:tc>
      </w:tr>
      <w:tr>
        <w:tc>
          <w:tcPr>
            <w:tcW w:type="dxa" w:w="4153"/>
          </w:tcPr>
          <w:p>
            <w:r>
              <w:rPr/>
              <w:t>付款方式</w:t>
            </w:r>
          </w:p>
        </w:tc>
        <w:tc>
          <w:tcPr>
            <w:tcW w:type="dxa" w:w="4153"/>
          </w:tcPr>
          <w:p/>
          <w:p/>
          <w:p>
            <w:r>
              <w:rPr/>
              <w:t>1期：支付比例30%,工程项目付款方式： 1.本项目按固定总价包干、项目措施费包干结算。 2.工程款于合同签订后采购人分五期支付给成交供应商。 3.第一期工程进度款于合同签订后5个工作日内采购人凭成交供应商提供的30％总工程款的等额发票支付。</w:t>
            </w:r>
          </w:p>
          <w:p/>
          <w:p>
            <w:r>
              <w:rPr/>
              <w:t>2期：支付比例30%,4.第二期工程进度款于工程完成60％进度后（由监理人确认），采购人凭成交供应商提供的30％总工程款的等额发票在15日内支付。</w:t>
            </w:r>
          </w:p>
          <w:p/>
          <w:p>
            <w:r>
              <w:rPr/>
              <w:t>3期：支付比例20%,5.第三期工程进度款于工程全部完工验收合格后，采购人凭成交供应商提供的20％总工程款的等额发票在15日内支付。</w:t>
            </w:r>
          </w:p>
          <w:p/>
          <w:p>
            <w:r>
              <w:rPr/>
              <w:t>4期：支付比例17%,6.第四期工程进度款于成交供应商向采购人提交工程结算资料、工程结算书，经有资质的咨询公司审核后支付，金额支付到审核结算造价金额的97%。采购人凭成交供应商提供的等额发票在15日内支付，同时由采购人以非现金形式无息退还成交供应商的履约保证金。</w:t>
            </w:r>
          </w:p>
          <w:p/>
          <w:p>
            <w:r>
              <w:rPr/>
              <w:t>5期：支付比例3%,7.第五期工程款作为工程质保金，金额为审核结算造价金额的3%，于工程验收合格满二年且没有发现质量问题，采购人于7个工作日内凭成交供应商提供的等额发票支付。 8.成交供应商凭以下有效的文件由采购人在规定时间内付款： 8.1合同复印件； 8.2成交供应商开具的正式发票； 8.3验收报告（加盖采购人公章）。</w:t>
            </w:r>
          </w:p>
        </w:tc>
      </w:tr>
      <w:tr>
        <w:tc>
          <w:tcPr>
            <w:tcW w:type="dxa" w:w="4153"/>
          </w:tcPr>
          <w:p>
            <w:r>
              <w:rPr/>
              <w:t>验收要求</w:t>
            </w:r>
          </w:p>
        </w:tc>
        <w:tc>
          <w:tcPr>
            <w:tcW w:type="dxa" w:w="4153"/>
          </w:tcPr>
          <w:p/>
          <w:p/>
          <w:p/>
          <w:p>
            <w:r>
              <w:rPr/>
              <w:t>1期：按照本项目的验收标准执行货物制造行业的国家和行业制作标准和规范等条例，施工设计图纸和施工质量情况，现场安装质量与环境的结合情况验收。</w:t>
            </w:r>
          </w:p>
        </w:tc>
      </w:tr>
      <w:tr>
        <w:tc>
          <w:tcPr>
            <w:tcW w:type="dxa" w:w="4153"/>
          </w:tcPr>
          <w:p>
            <w:r>
              <w:rPr/>
              <w:t>履约保证金</w:t>
            </w:r>
          </w:p>
        </w:tc>
        <w:tc>
          <w:tcPr>
            <w:tcW w:type="dxa" w:w="4153"/>
          </w:tcPr>
          <w:p/>
          <w:p/>
          <w:p/>
          <w:p/>
          <w:p>
            <w:r>
              <w:rPr/>
              <w:t>收取比例：5%,说明：成交供应商与采购人签订合同后5个工作日内，按合同总价的5%向采购人提交履约保证金（以支票、汇票、本票或者金融机构、担保机构出具的保函等非现金形式提交）。若成交供应商没有违约行为，履约保证金在提交工程结算资料、工程结算书，经有资质的咨询公司审核后，由采购人以非现金形式无息退还成交供应商。 履约保证金不予退还的情形： （1）拒绝履行合同义务的； （2）履约验收不合格的。 采购人逾期退还履约保证金的，从逾期之日起每日按履约保证金3‰的数额向成交供应商支付违约金。但因成交供应商自身原因导致无法及时退还的除外。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承包方式，1.本项目为交钥匙工程，实行固定总价包干，项目措施费包干。按照货物清单等需求内容，采取包设计、包工、包料、包机械、包工期、包质量、包安全生产、包文明施工、包税、包劳保、包运输、包安装、包验收、包保修等的承包方式。 2.除采购文件中有明确外，项目不得再以任何方式转包或分包本采购项目。 3.采购人如有合理变更、修改设计的内容响应供应商成交后不得拒绝承担。 4.项目在施工阶段，因工程实施环境变化等任何因素引起的设计及施工调整、设计和施工合计最终造价不得超过最高限价。 5.本工程实行全过程限额设计施工，限额投资。工程变更需经过建设单位审定后方可实施。成交的分项报价和总报价仅为参考合同价，不作为竣工结算的依据，在概预算编制完成前可作为拨付工程进度款的依据。本项目施工图审查通过后，根据最终确认的施工图纸，由成交供应商采用清单模式编制施工图预算作为建安工程费，经第三方咨询机构审定概预算并经行业主管部门审批通过后，按报价下浮率及合同约定的方法，得出合同价格清单，以此合同价格清单作为进度款支付和结算计价的依据。以经审批的建安工程费为基础，按报价下浮率及合同约定的方法计算出的最终设计费，作为设计费结算的依据。设计费、施工费结算原则以合同约定为准。 6.施工图审查备案完成后，原则上不允许成交供应商提出设计变更，确需变更的按相关基本程序办理。因成交供应商原因（包括错、漏、碰等设计失误）产生的设计变更,所增加的费用，由成交供应商承担。</w:t>
            </w:r>
          </w:p>
          <w:p/>
          <w:p>
            <w:r>
              <w:rPr/>
              <w:t>（二）最高限价，人民币1,200,000.00元。</w:t>
            </w:r>
          </w:p>
          <w:p/>
          <w:p>
            <w:r>
              <w:rPr/>
              <w:t>（三）采购内容，南方医科大学口腔医院（广东省口腔医院）盘福院区更换10KV电缆工程，包括但不限于本项目设计范围内所有工程内容的设计、施工准备及施工、配合相关部门结（决）算审核、竣工图编制、工程保修等工作，组织本项目的验收备案和工程资料汇总及整理归档工作、负责办理工程开工及验收所需的各项手续并承担办理上述手续施工方的费用、完成施工其它相关工作、负责协调施工过程中的相关职能部门及周边居民、施工期交通疏解、安全文明措施等。工程内容主要包括市政工程、电气工程等。</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其他电力系统安装</w:t>
            </w:r>
          </w:p>
        </w:tc>
        <w:tc>
          <w:tcPr>
            <w:tcW w:type="dxa" w:w="933"/>
          </w:tcPr>
          <w:p>
            <w:pPr>
              <w:jc w:val="left"/>
            </w:pPr>
            <w:r>
              <w:rPr/>
              <w:t>盘福院区更换10KV电缆工程</w:t>
            </w:r>
          </w:p>
        </w:tc>
        <w:tc>
          <w:tcPr>
            <w:tcW w:type="dxa" w:w="933"/>
          </w:tcPr>
          <w:p>
            <w:pPr>
              <w:jc w:val="left"/>
            </w:pPr>
            <w:r>
              <w:rPr/>
              <w:t>项</w:t>
            </w:r>
          </w:p>
        </w:tc>
        <w:tc>
          <w:tcPr>
            <w:tcW w:type="dxa" w:w="933"/>
          </w:tcPr>
          <w:p>
            <w:pPr>
              <w:jc w:val="right"/>
            </w:pPr>
            <w:r>
              <w:rPr/>
              <w:t>1.00</w:t>
            </w:r>
          </w:p>
        </w:tc>
        <w:tc>
          <w:tcPr>
            <w:tcW w:type="dxa" w:w="933"/>
          </w:tcPr>
          <w:p>
            <w:pPr>
              <w:jc w:val="right"/>
            </w:pPr>
            <w:r>
              <w:rPr/>
              <w:t>1,200,000.00</w:t>
            </w:r>
          </w:p>
        </w:tc>
        <w:tc>
          <w:tcPr>
            <w:tcW w:type="dxa" w:w="933"/>
          </w:tcPr>
          <w:p>
            <w:pPr>
              <w:jc w:val="right"/>
            </w:pPr>
            <w:r>
              <w:rPr/>
              <w:t>1,200,000.00</w:t>
            </w:r>
          </w:p>
        </w:tc>
        <w:tc>
          <w:tcPr>
            <w:tcW w:type="dxa" w:w="840"/>
          </w:tcPr>
          <w:p>
            <w:r>
              <w:rPr/>
              <w:t>建筑业</w:t>
            </w:r>
          </w:p>
        </w:tc>
        <w:tc>
          <w:tcPr>
            <w:tcW w:type="dxa" w:w="933"/>
          </w:tcPr>
          <w:p>
            <w:r>
              <w:rPr/>
              <w:t>详见附表一</w:t>
            </w:r>
          </w:p>
        </w:tc>
      </w:tr>
    </w:tbl>
    <w:p/>
    <w:p>
      <w:r>
        <w:rPr>
          <w:b/>
        </w:rPr>
        <w:t>附表</w:t>
      </w:r>
      <w:r>
        <w:rPr>
          <w:b/>
        </w:rPr>
        <w:t>一</w:t>
      </w:r>
      <w:r>
        <w:rPr>
          <w:b/>
        </w:rPr>
        <w:t>：</w:t>
      </w:r>
      <w:r>
        <w:rPr>
          <w:b/>
        </w:rPr>
        <w:t>盘福院区更换10KV电缆工程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（一）项目概况</w:t>
            </w:r>
          </w:p>
          <w:p>
            <w:pPr>
              <w:jc w:val="left"/>
            </w:pPr>
            <w:r>
              <w:rPr>
                <w:sz w:val="21"/>
              </w:rPr>
              <w:t>1、项目名称：盘福院区更换10KV电缆工程。</w:t>
            </w:r>
          </w:p>
          <w:p>
            <w:pPr>
              <w:jc w:val="left"/>
            </w:pPr>
            <w:r>
              <w:rPr>
                <w:sz w:val="21"/>
              </w:rPr>
              <w:t>2、采购单位：南方医科大学口腔医院（广东省口腔医院）。</w:t>
            </w:r>
          </w:p>
          <w:p>
            <w:pPr>
              <w:jc w:val="left"/>
            </w:pPr>
            <w:r>
              <w:rPr>
                <w:sz w:val="21"/>
              </w:rPr>
              <w:t>3、项目地点：广州市越秀区盘福路13-35号。</w:t>
            </w:r>
          </w:p>
          <w:p>
            <w:pPr>
              <w:jc w:val="left"/>
            </w:pPr>
            <w:r>
              <w:rPr>
                <w:sz w:val="21"/>
              </w:rPr>
              <w:t>4、项目简介：南方医科大学口腔医院（广东省口腔医院）盘福院区位于广州市越秀区盘福路，其用电改造工程（受理编号：08000010000043476389）已完成，现时利用原盘福F37（主供）ZR YJV22-3×70mm</w:t>
            </w:r>
            <w:r>
              <w:rPr>
                <w:sz w:val="21"/>
                <w:vertAlign w:val="superscript"/>
              </w:rPr>
              <w:t>2</w:t>
            </w:r>
            <w:r>
              <w:rPr>
                <w:sz w:val="21"/>
              </w:rPr>
              <w:t>电缆，原盘福</w:t>
            </w:r>
            <w:r>
              <w:rPr>
                <w:sz w:val="21"/>
              </w:rPr>
              <w:t>F30（备供）ZR YJV22-3×70mm</w:t>
            </w:r>
            <w:r>
              <w:rPr>
                <w:sz w:val="21"/>
                <w:vertAlign w:val="superscript"/>
              </w:rPr>
              <w:t>2</w:t>
            </w:r>
            <w:r>
              <w:rPr>
                <w:sz w:val="21"/>
              </w:rPr>
              <w:t>电缆，实施临时供电（现时院区只由一台变压器实施临时供电）。越秀区供电局要求采购人</w:t>
            </w:r>
            <w:r>
              <w:rPr>
                <w:sz w:val="21"/>
              </w:rPr>
              <w:t>“将原主、备供电源电缆，由原ZR YJV22-3×70mm</w:t>
            </w:r>
            <w:r>
              <w:rPr>
                <w:sz w:val="21"/>
                <w:vertAlign w:val="superscript"/>
              </w:rPr>
              <w:t>2</w:t>
            </w:r>
            <w:r>
              <w:rPr>
                <w:sz w:val="21"/>
              </w:rPr>
              <w:t>电缆，更换为</w:t>
            </w:r>
            <w:r>
              <w:rPr>
                <w:sz w:val="21"/>
              </w:rPr>
              <w:t>ZR YJV22-3×240mm</w:t>
            </w:r>
            <w:r>
              <w:rPr>
                <w:sz w:val="21"/>
                <w:vertAlign w:val="superscript"/>
              </w:rPr>
              <w:t>2</w:t>
            </w:r>
            <w:r>
              <w:rPr>
                <w:sz w:val="21"/>
              </w:rPr>
              <w:t>电缆后；方可对新设备进行正式全面供电（由两台变压器同时供电）。由于从原电源接入点：主供医国后街</w:t>
            </w:r>
            <w:r>
              <w:rPr>
                <w:sz w:val="21"/>
              </w:rPr>
              <w:t>114#综合房、备供朱紫街57#开关房开始敷设电缆，途经朱紫街、朱紫横街、盘福大街、医国街、医院侧门入口处等到盘福院区新装的“10KV开关房”方案。经采购人和电力工程专业公司反复勘察和论证后，确定无法实施。为此采购人决定另寻新电源接入点和敷设电缆途径进行更换10KV电缆工程（电缆长度最好控制在350m以内），项目内容包括工程勘察及设计和预算编制、电缆沟建造（包括路面开挖和修复）、电缆敷设及系统接入和调试等。</w:t>
            </w:r>
          </w:p>
          <w:p>
            <w:pPr>
              <w:jc w:val="left"/>
            </w:pPr>
            <w:r>
              <w:rPr>
                <w:sz w:val="21"/>
              </w:rPr>
              <w:t>（二）项目内容</w:t>
            </w:r>
          </w:p>
          <w:p>
            <w:pPr>
              <w:jc w:val="left"/>
            </w:pPr>
            <w:r>
              <w:rPr>
                <w:sz w:val="21"/>
              </w:rPr>
              <w:t>1、勘察设计：</w:t>
            </w:r>
          </w:p>
          <w:p>
            <w:pPr>
              <w:jc w:val="left"/>
            </w:pPr>
            <w:r>
              <w:rPr>
                <w:sz w:val="21"/>
              </w:rPr>
              <w:t>1.1负责寻找新电源接入点和电缆敷设途径，并对其施工环境等进行实地勘察及可行性调研。</w:t>
            </w:r>
          </w:p>
          <w:p>
            <w:pPr>
              <w:jc w:val="left"/>
            </w:pPr>
            <w:r>
              <w:rPr>
                <w:sz w:val="21"/>
              </w:rPr>
              <w:t>1.2负责与越秀区供电局相关部门进行充分沟通，以新电源接入点为中心进行施工设计图，施工图要通过供电相关部门的认可和审核。</w:t>
            </w:r>
          </w:p>
          <w:p>
            <w:pPr>
              <w:jc w:val="left"/>
            </w:pPr>
            <w:r>
              <w:rPr>
                <w:sz w:val="21"/>
              </w:rPr>
              <w:t>1.3编制预算书。</w:t>
            </w:r>
          </w:p>
          <w:p>
            <w:pPr>
              <w:jc w:val="left"/>
            </w:pPr>
            <w:r>
              <w:rPr>
                <w:sz w:val="21"/>
              </w:rPr>
              <w:t>1.4绘制竣工图。</w:t>
            </w:r>
          </w:p>
          <w:p>
            <w:pPr>
              <w:jc w:val="left"/>
            </w:pPr>
            <w:r>
              <w:rPr>
                <w:sz w:val="21"/>
              </w:rPr>
              <w:t>2、电缆沟工程：</w:t>
            </w:r>
          </w:p>
          <w:p>
            <w:pPr>
              <w:jc w:val="left"/>
            </w:pPr>
            <w:r>
              <w:rPr>
                <w:sz w:val="21"/>
              </w:rPr>
              <w:t>2.1路面开挖。</w:t>
            </w:r>
          </w:p>
          <w:p>
            <w:pPr>
              <w:jc w:val="left"/>
            </w:pPr>
            <w:r>
              <w:rPr>
                <w:sz w:val="21"/>
              </w:rPr>
              <w:t>2.2埋管、电缆沟、管井、回填土等施工。</w:t>
            </w:r>
          </w:p>
          <w:p>
            <w:pPr>
              <w:jc w:val="left"/>
            </w:pPr>
            <w:r>
              <w:rPr>
                <w:sz w:val="21"/>
              </w:rPr>
              <w:t>2.3施工过程破坏的路面及市政设施恢复至原貌。</w:t>
            </w:r>
          </w:p>
          <w:p>
            <w:pPr>
              <w:jc w:val="left"/>
            </w:pPr>
            <w:r>
              <w:rPr>
                <w:sz w:val="21"/>
              </w:rPr>
              <w:t>2.4清运余泥。</w:t>
            </w:r>
          </w:p>
          <w:p>
            <w:pPr>
              <w:jc w:val="left"/>
            </w:pPr>
            <w:r>
              <w:rPr>
                <w:sz w:val="21"/>
              </w:rPr>
              <w:t>3、电缆敷设安装工程：</w:t>
            </w:r>
          </w:p>
          <w:p>
            <w:pPr>
              <w:jc w:val="left"/>
            </w:pPr>
            <w:r>
              <w:rPr>
                <w:sz w:val="21"/>
              </w:rPr>
              <w:t>3.1电缆敷设。</w:t>
            </w:r>
          </w:p>
          <w:p>
            <w:pPr>
              <w:jc w:val="left"/>
            </w:pPr>
            <w:r>
              <w:rPr>
                <w:sz w:val="21"/>
              </w:rPr>
              <w:t>3.2电缆头安装。</w:t>
            </w:r>
          </w:p>
          <w:p>
            <w:pPr>
              <w:jc w:val="left"/>
            </w:pPr>
            <w:r>
              <w:rPr>
                <w:sz w:val="21"/>
              </w:rPr>
              <w:t>3.3互感器安装。</w:t>
            </w:r>
          </w:p>
          <w:p>
            <w:pPr>
              <w:jc w:val="left"/>
            </w:pPr>
            <w:r>
              <w:rPr>
                <w:sz w:val="21"/>
              </w:rPr>
              <w:t>4、电缆试验、调试：</w:t>
            </w:r>
          </w:p>
          <w:p>
            <w:pPr>
              <w:jc w:val="left"/>
            </w:pPr>
            <w:r>
              <w:rPr>
                <w:sz w:val="21"/>
              </w:rPr>
              <w:t>4.1 10KV电缆绝缘试验。</w:t>
            </w:r>
          </w:p>
          <w:p>
            <w:pPr>
              <w:jc w:val="left"/>
            </w:pPr>
            <w:r>
              <w:rPr>
                <w:sz w:val="21"/>
              </w:rPr>
              <w:t>4.2 10KV电缆交流耐压试验。</w:t>
            </w:r>
          </w:p>
          <w:p>
            <w:pPr>
              <w:jc w:val="left"/>
            </w:pPr>
            <w:r>
              <w:rPr>
                <w:sz w:val="21"/>
              </w:rPr>
              <w:t>4.3 10KV电缆振动波试验。</w:t>
            </w:r>
          </w:p>
          <w:p>
            <w:pPr>
              <w:jc w:val="left"/>
            </w:pPr>
            <w:r>
              <w:rPr>
                <w:sz w:val="21"/>
              </w:rPr>
              <w:t>4.4 10KV电缆鉴别。</w:t>
            </w:r>
          </w:p>
          <w:p>
            <w:pPr>
              <w:jc w:val="left"/>
            </w:pPr>
            <w:r>
              <w:rPr>
                <w:sz w:val="21"/>
              </w:rPr>
              <w:t>4.5 供电局要求的其他试验。</w:t>
            </w:r>
          </w:p>
          <w:p>
            <w:pPr>
              <w:jc w:val="left"/>
            </w:pPr>
            <w:r>
              <w:rPr>
                <w:sz w:val="21"/>
              </w:rPr>
              <w:t>5</w:t>
            </w:r>
            <w:r>
              <w:rPr>
                <w:sz w:val="21"/>
              </w:rPr>
              <w:t>、</w:t>
            </w:r>
            <w:r>
              <w:rPr>
                <w:color w:val="000000"/>
                <w:sz w:val="21"/>
              </w:rPr>
              <w:t>供配电系统运行调试至正常使用。</w:t>
            </w:r>
          </w:p>
          <w:p>
            <w:pPr>
              <w:jc w:val="left"/>
            </w:pPr>
            <w:r>
              <w:rPr>
                <w:sz w:val="21"/>
              </w:rPr>
              <w:t>（三）总体要求</w:t>
            </w:r>
          </w:p>
          <w:p>
            <w:pPr>
              <w:jc w:val="left"/>
            </w:pPr>
            <w:r>
              <w:rPr>
                <w:sz w:val="21"/>
              </w:rPr>
              <w:t>1、设备材料要求：</w:t>
            </w:r>
          </w:p>
          <w:p>
            <w:pPr>
              <w:jc w:val="left"/>
            </w:pPr>
            <w:r>
              <w:rPr>
                <w:sz w:val="21"/>
              </w:rPr>
              <w:t>★1.1响应供应商必须承诺所提供的货物必须是厂商原装、全新优质、节能环保材料制造、符合国家及用户提出的有关质量标准的设备和材料。</w:t>
            </w:r>
          </w:p>
          <w:p>
            <w:pPr>
              <w:jc w:val="left"/>
            </w:pPr>
            <w:r>
              <w:rPr>
                <w:sz w:val="21"/>
              </w:rPr>
              <w:t>1.2响应供应商需要提供设备、材料的品牌、型号、技术参数及产品合格证书等证明文件。</w:t>
            </w:r>
          </w:p>
          <w:tbl>
            <w:tblPr>
              <w:tblBorders>
                <w:top w:val="none" w:color="000000" w:sz="4"/>
                <w:left w:val="none" w:color="000000" w:sz="4"/>
                <w:bottom w:val="none" w:color="000000" w:sz="4"/>
                <w:right w:val="none" w:color="000000" w:sz="4"/>
                <w:insideH w:val="none"/>
                <w:insideV w:val="none"/>
              </w:tblBorders>
            </w:tblPr>
            <w:tblGrid>
              <w:gridCol w:w="484"/>
              <w:gridCol w:w="1311"/>
              <w:gridCol w:w="1951"/>
              <w:gridCol w:w="1851"/>
            </w:tblGrid>
            <w:tr>
              <w:tc>
                <w:tcPr>
                  <w:tcW w:type="dxa" w:w="48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311"/>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1951"/>
                  <w:tcBorders>
                    <w:top w:val="single" w:color="000000" w:sz="4"/>
                    <w:left w:val="single" w:color="000000" w:sz="4"/>
                    <w:bottom w:val="single" w:color="000000" w:sz="4"/>
                    <w:right w:val="single" w:color="000000" w:sz="4"/>
                  </w:tcBorders>
                </w:tcPr>
                <w:p>
                  <w:pPr>
                    <w:jc w:val="center"/>
                  </w:pPr>
                  <w:r>
                    <w:rPr>
                      <w:sz w:val="19"/>
                    </w:rPr>
                    <w:t>优于或相当于以下品牌</w:t>
                  </w:r>
                </w:p>
              </w:tc>
              <w:tc>
                <w:tcPr>
                  <w:tcW w:type="dxa" w:w="1851"/>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4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11"/>
                  <w:tcBorders>
                    <w:top w:val="none" w:color="000000" w:sz="4"/>
                    <w:left w:val="single" w:color="000000" w:sz="4"/>
                    <w:bottom w:val="single" w:color="000000" w:sz="4"/>
                    <w:right w:val="single" w:color="000000" w:sz="4"/>
                  </w:tcBorders>
                  <w:vAlign w:val="top"/>
                </w:tcPr>
                <w:p>
                  <w:pPr>
                    <w:jc w:val="center"/>
                  </w:pPr>
                  <w:r>
                    <w:rPr>
                      <w:sz w:val="21"/>
                    </w:rPr>
                    <w:t>10KV</w:t>
                  </w:r>
                  <w:r>
                    <w:rPr>
                      <w:sz w:val="21"/>
                    </w:rPr>
                    <w:t>高压电缆</w:t>
                  </w:r>
                </w:p>
              </w:tc>
              <w:tc>
                <w:tcPr>
                  <w:tcW w:type="dxa" w:w="1951"/>
                  <w:tcBorders>
                    <w:top w:val="none" w:color="000000" w:sz="4"/>
                    <w:left w:val="single" w:color="000000" w:sz="4"/>
                    <w:bottom w:val="single" w:color="000000" w:sz="4"/>
                    <w:right w:val="single" w:color="000000" w:sz="4"/>
                  </w:tcBorders>
                  <w:vAlign w:val="top"/>
                </w:tcPr>
                <w:p>
                  <w:pPr>
                    <w:jc w:val="center"/>
                  </w:pPr>
                  <w:r>
                    <w:rPr>
                      <w:sz w:val="21"/>
                    </w:rPr>
                    <w:t>广州新兴电缆、广州电缆、广州番禺电缆、</w:t>
                  </w:r>
                  <w:r>
                    <w:rPr>
                      <w:sz w:val="21"/>
                    </w:rPr>
                    <w:t>广东日鸿电缆</w:t>
                  </w:r>
                </w:p>
              </w:tc>
              <w:tc>
                <w:tcPr>
                  <w:tcW w:type="dxa" w:w="1851"/>
                  <w:tcBorders>
                    <w:top w:val="none" w:color="000000" w:sz="4"/>
                    <w:left w:val="single" w:color="000000" w:sz="4"/>
                    <w:bottom w:val="single" w:color="000000" w:sz="4"/>
                    <w:right w:val="single" w:color="000000" w:sz="4"/>
                  </w:tcBorders>
                  <w:vAlign w:val="top"/>
                </w:tcPr>
                <w:p>
                  <w:pPr>
                    <w:jc w:val="center"/>
                  </w:pPr>
                  <w:r>
                    <w:rPr>
                      <w:sz w:val="21"/>
                    </w:rPr>
                    <w:t>符合南方电网及广州供电局入库要求产品</w:t>
                  </w:r>
                </w:p>
              </w:tc>
            </w:tr>
            <w:tr>
              <w:tc>
                <w:tcPr>
                  <w:tcW w:type="dxa" w:w="48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11"/>
                  <w:tcBorders>
                    <w:top w:val="none" w:color="000000" w:sz="4"/>
                    <w:left w:val="single" w:color="000000" w:sz="4"/>
                    <w:bottom w:val="single" w:color="000000" w:sz="4"/>
                    <w:right w:val="single" w:color="000000" w:sz="4"/>
                  </w:tcBorders>
                  <w:vAlign w:val="top"/>
                </w:tcPr>
                <w:p>
                  <w:pPr>
                    <w:jc w:val="center"/>
                  </w:pPr>
                  <w:r>
                    <w:rPr>
                      <w:sz w:val="21"/>
                    </w:rPr>
                    <w:t>10KV环网柜</w:t>
                  </w:r>
                </w:p>
                <w:p>
                  <w:pPr>
                    <w:jc w:val="center"/>
                  </w:pPr>
                  <w:r>
                    <w:rPr>
                      <w:sz w:val="21"/>
                    </w:rPr>
                    <w:t>(六氟化硫开关柜）</w:t>
                  </w:r>
                </w:p>
              </w:tc>
              <w:tc>
                <w:tcPr>
                  <w:tcW w:type="dxa" w:w="1951"/>
                  <w:tcBorders>
                    <w:top w:val="none" w:color="000000" w:sz="4"/>
                    <w:left w:val="single" w:color="000000" w:sz="4"/>
                    <w:bottom w:val="single" w:color="000000" w:sz="4"/>
                    <w:right w:val="single" w:color="000000" w:sz="4"/>
                  </w:tcBorders>
                  <w:vAlign w:val="top"/>
                </w:tcPr>
                <w:p>
                  <w:pPr>
                    <w:jc w:val="center"/>
                  </w:pPr>
                  <w:r>
                    <w:rPr>
                      <w:sz w:val="21"/>
                    </w:rPr>
                    <w:t>双盈电气技术有限公司、广州南方电力集团电器有限公司、安瑞普电气有限公司</w:t>
                  </w:r>
                </w:p>
              </w:tc>
              <w:tc>
                <w:tcPr>
                  <w:tcW w:type="dxa" w:w="1851"/>
                  <w:tcBorders>
                    <w:top w:val="none" w:color="000000" w:sz="4"/>
                    <w:left w:val="single" w:color="000000" w:sz="4"/>
                    <w:bottom w:val="single" w:color="000000" w:sz="4"/>
                    <w:right w:val="single" w:color="000000" w:sz="4"/>
                  </w:tcBorders>
                  <w:vAlign w:val="top"/>
                </w:tcPr>
                <w:p>
                  <w:pPr>
                    <w:jc w:val="center"/>
                  </w:pPr>
                  <w:r>
                    <w:rPr>
                      <w:sz w:val="21"/>
                    </w:rPr>
                    <w:t>符合南方电网及广州供电局入库要求产品</w:t>
                  </w:r>
                </w:p>
              </w:tc>
            </w:tr>
            <w:tr>
              <w:tc>
                <w:tcPr>
                  <w:tcW w:type="dxa" w:w="48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11"/>
                  <w:tcBorders>
                    <w:top w:val="none" w:color="000000" w:sz="4"/>
                    <w:left w:val="single" w:color="000000" w:sz="4"/>
                    <w:bottom w:val="single" w:color="000000" w:sz="4"/>
                    <w:right w:val="single" w:color="000000" w:sz="4"/>
                  </w:tcBorders>
                  <w:vAlign w:val="top"/>
                </w:tcPr>
                <w:p>
                  <w:pPr>
                    <w:jc w:val="center"/>
                  </w:pPr>
                  <w:r>
                    <w:rPr>
                      <w:sz w:val="21"/>
                    </w:rPr>
                    <w:t>其他元器件</w:t>
                  </w:r>
                </w:p>
              </w:tc>
              <w:tc>
                <w:tcPr>
                  <w:tcW w:type="dxa" w:w="1951"/>
                  <w:tcBorders>
                    <w:top w:val="none" w:color="000000" w:sz="4"/>
                    <w:left w:val="single" w:color="000000" w:sz="4"/>
                    <w:bottom w:val="single" w:color="000000" w:sz="4"/>
                    <w:right w:val="single" w:color="000000" w:sz="4"/>
                  </w:tcBorders>
                  <w:vAlign w:val="top"/>
                </w:tcPr>
                <w:p>
                  <w:pPr>
                    <w:jc w:val="center"/>
                  </w:pPr>
                </w:p>
              </w:tc>
              <w:tc>
                <w:tcPr>
                  <w:tcW w:type="dxa" w:w="1851"/>
                  <w:tcBorders>
                    <w:top w:val="none" w:color="000000" w:sz="4"/>
                    <w:left w:val="single" w:color="000000" w:sz="4"/>
                    <w:bottom w:val="single" w:color="000000" w:sz="4"/>
                    <w:right w:val="single" w:color="000000" w:sz="4"/>
                  </w:tcBorders>
                  <w:vAlign w:val="top"/>
                </w:tcPr>
                <w:p>
                  <w:pPr>
                    <w:jc w:val="center"/>
                  </w:pPr>
                  <w:r>
                    <w:rPr>
                      <w:sz w:val="21"/>
                    </w:rPr>
                    <w:t>符合广州供电局要求配置产品</w:t>
                  </w:r>
                </w:p>
              </w:tc>
            </w:tr>
          </w:tbl>
          <w:p>
            <w:pPr>
              <w:jc w:val="left"/>
            </w:pPr>
            <w:r>
              <w:rPr>
                <w:sz w:val="21"/>
              </w:rPr>
              <w:t>1.3响应供应商供应的设备、材料、辅料的型号、规格、参数应符合国家、省有关质量及环保标准和施工设计图的要求。</w:t>
            </w:r>
          </w:p>
          <w:p>
            <w:pPr>
              <w:jc w:val="left"/>
            </w:pPr>
            <w:r>
              <w:rPr>
                <w:sz w:val="21"/>
              </w:rPr>
              <w:t>1.4响应供应商供应的设备、材料都必须有合格证明，须经采购人同意方可使用。各种零配件的质量、品牌，必须符合国家规定的质量标准。如提供伪劣、假冒等不合格材料而导致的损失、事故及一切后果，均由响应供应商负责并赔偿采购人所有损失，并负责无条件更换所有已使用的不合格材料。</w:t>
            </w:r>
          </w:p>
          <w:p>
            <w:pPr>
              <w:jc w:val="left"/>
            </w:pPr>
            <w:r>
              <w:rPr>
                <w:sz w:val="21"/>
              </w:rPr>
              <w:t>1.5采购人保留对本项目使用之主要材料品质确认审查的权利及保留另行委托专业队伍对本工程进行独立检测的权利。</w:t>
            </w:r>
          </w:p>
          <w:p>
            <w:pPr>
              <w:jc w:val="left"/>
            </w:pPr>
            <w:r>
              <w:rPr>
                <w:sz w:val="21"/>
              </w:rPr>
              <w:t>1.6货物如列入《中华人民共和国实施强制性产品认证的产品目录》的产品，在安装验收时必须提供CCC认证证书复印件（加盖公章）。</w:t>
            </w:r>
          </w:p>
          <w:p>
            <w:pPr>
              <w:jc w:val="left"/>
            </w:pPr>
            <w:r>
              <w:rPr>
                <w:sz w:val="21"/>
              </w:rPr>
              <w:t>1.7货物必须功能完整，运行安全、性能稳定、可靠。</w:t>
            </w:r>
          </w:p>
          <w:p>
            <w:pPr>
              <w:jc w:val="left"/>
            </w:pPr>
            <w:r>
              <w:rPr>
                <w:sz w:val="21"/>
              </w:rPr>
              <w:t>1.8货物到达现场安装至验收前，其成品、材料的所有权属于采购人单位，如有遗失和损坏采购人概不负责。</w:t>
            </w:r>
          </w:p>
          <w:p>
            <w:pPr>
              <w:jc w:val="left"/>
            </w:pPr>
            <w:r>
              <w:rPr>
                <w:sz w:val="21"/>
              </w:rPr>
              <w:t>2、配套服务项目：</w:t>
            </w:r>
          </w:p>
          <w:p>
            <w:pPr>
              <w:jc w:val="left"/>
            </w:pPr>
            <w:r>
              <w:rPr>
                <w:sz w:val="21"/>
              </w:rPr>
              <w:t>2.1设计（施工图纸必须经过供电局审批）。</w:t>
            </w:r>
          </w:p>
          <w:p>
            <w:pPr>
              <w:jc w:val="left"/>
            </w:pPr>
            <w:r>
              <w:rPr>
                <w:sz w:val="21"/>
              </w:rPr>
              <w:t>2.1.1按规范进行电缆沟及管井设计。</w:t>
            </w:r>
          </w:p>
          <w:p>
            <w:pPr>
              <w:jc w:val="left"/>
            </w:pPr>
            <w:r>
              <w:rPr>
                <w:sz w:val="21"/>
              </w:rPr>
              <w:t>2.1.2按规范进行高压供电系统图和施工图设计。</w:t>
            </w:r>
          </w:p>
          <w:p>
            <w:pPr>
              <w:jc w:val="left"/>
            </w:pPr>
            <w:r>
              <w:rPr>
                <w:sz w:val="21"/>
              </w:rPr>
              <w:t>2.2其他：</w:t>
            </w:r>
          </w:p>
          <w:p>
            <w:pPr>
              <w:jc w:val="left"/>
            </w:pPr>
            <w:r>
              <w:rPr>
                <w:sz w:val="21"/>
              </w:rPr>
              <w:t>2.2.1编制工程预算书。</w:t>
            </w:r>
          </w:p>
          <w:p>
            <w:pPr>
              <w:jc w:val="left"/>
            </w:pPr>
            <w:r>
              <w:rPr>
                <w:sz w:val="21"/>
              </w:rPr>
              <w:t>2.2.2设计跟踪服务。</w:t>
            </w:r>
          </w:p>
          <w:p>
            <w:pPr>
              <w:jc w:val="left"/>
            </w:pPr>
            <w:r>
              <w:rPr>
                <w:sz w:val="21"/>
              </w:rPr>
              <w:t>2.2.3现场指导与监督服务。</w:t>
            </w:r>
          </w:p>
          <w:p>
            <w:pPr>
              <w:jc w:val="left"/>
            </w:pPr>
            <w:r>
              <w:rPr>
                <w:sz w:val="21"/>
              </w:rPr>
              <w:t>2.2.4编制竣工图。</w:t>
            </w:r>
          </w:p>
          <w:p>
            <w:pPr>
              <w:jc w:val="left"/>
            </w:pPr>
            <w:r>
              <w:rPr>
                <w:sz w:val="21"/>
              </w:rPr>
              <w:t>2.2.5施工配合服务。</w:t>
            </w:r>
          </w:p>
          <w:p>
            <w:pPr>
              <w:jc w:val="left"/>
            </w:pPr>
            <w:r>
              <w:rPr>
                <w:sz w:val="21"/>
              </w:rPr>
              <w:t>2.2.6编制项目需要的设备及材料表及相关技术文件。</w:t>
            </w:r>
          </w:p>
          <w:p>
            <w:pPr>
              <w:jc w:val="left"/>
            </w:pPr>
            <w:r>
              <w:rPr>
                <w:sz w:val="21"/>
              </w:rPr>
              <w:t>2.2.7承办报建审批及地方行政主管部门的行政许可手续。</w:t>
            </w:r>
          </w:p>
          <w:p>
            <w:pPr>
              <w:jc w:val="left"/>
            </w:pPr>
            <w:r>
              <w:rPr>
                <w:sz w:val="21"/>
              </w:rPr>
              <w:t>2.2.8设计项目需要提交设计资料和文件的要求如下表：</w:t>
            </w:r>
          </w:p>
          <w:tbl>
            <w:tblPr>
              <w:tblBorders>
                <w:top w:val="none" w:color="000000" w:sz="4"/>
                <w:left w:val="none" w:color="000000" w:sz="4"/>
                <w:bottom w:val="none" w:color="000000" w:sz="4"/>
                <w:right w:val="none" w:color="000000" w:sz="4"/>
                <w:insideH w:val="none"/>
                <w:insideV w:val="none"/>
              </w:tblBorders>
            </w:tblPr>
            <w:tblGrid>
              <w:gridCol w:w="650"/>
              <w:gridCol w:w="2478"/>
              <w:gridCol w:w="488"/>
              <w:gridCol w:w="1519"/>
              <w:gridCol w:w="463"/>
            </w:tblGrid>
            <w:tr>
              <w:tc>
                <w:tcPr>
                  <w:tcW w:type="dxa" w:w="65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478"/>
                  <w:tcBorders>
                    <w:top w:val="single" w:color="000000" w:sz="4"/>
                    <w:left w:val="single" w:color="000000" w:sz="4"/>
                    <w:bottom w:val="single" w:color="000000" w:sz="4"/>
                    <w:right w:val="single" w:color="000000" w:sz="4"/>
                  </w:tcBorders>
                  <w:vAlign w:val="top"/>
                </w:tcPr>
                <w:p>
                  <w:pPr>
                    <w:jc w:val="center"/>
                  </w:pPr>
                  <w:r>
                    <w:rPr>
                      <w:sz w:val="21"/>
                    </w:rPr>
                    <w:t>资料及文件名称</w:t>
                  </w:r>
                </w:p>
              </w:tc>
              <w:tc>
                <w:tcPr>
                  <w:tcW w:type="dxa" w:w="488"/>
                  <w:tcBorders>
                    <w:top w:val="single" w:color="000000" w:sz="4"/>
                    <w:left w:val="single" w:color="000000" w:sz="4"/>
                    <w:bottom w:val="single" w:color="000000" w:sz="4"/>
                    <w:right w:val="single" w:color="000000" w:sz="4"/>
                  </w:tcBorders>
                  <w:vAlign w:val="top"/>
                </w:tcPr>
                <w:p>
                  <w:pPr>
                    <w:jc w:val="center"/>
                  </w:pPr>
                  <w:r>
                    <w:rPr>
                      <w:sz w:val="21"/>
                    </w:rPr>
                    <w:t>份数</w:t>
                  </w:r>
                </w:p>
              </w:tc>
              <w:tc>
                <w:tcPr>
                  <w:tcW w:type="dxa" w:w="1519"/>
                  <w:tcBorders>
                    <w:top w:val="single" w:color="000000" w:sz="4"/>
                    <w:left w:val="single" w:color="000000" w:sz="4"/>
                    <w:bottom w:val="single" w:color="000000" w:sz="4"/>
                    <w:right w:val="single" w:color="000000" w:sz="4"/>
                  </w:tcBorders>
                  <w:vAlign w:val="top"/>
                </w:tcPr>
                <w:p>
                  <w:pPr>
                    <w:jc w:val="center"/>
                  </w:pPr>
                  <w:r>
                    <w:rPr>
                      <w:sz w:val="21"/>
                    </w:rPr>
                    <w:t>提交日期</w:t>
                  </w:r>
                </w:p>
              </w:tc>
              <w:tc>
                <w:tcPr>
                  <w:tcW w:type="dxa" w:w="463"/>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65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78"/>
                  <w:tcBorders>
                    <w:top w:val="none" w:color="000000" w:sz="4"/>
                    <w:left w:val="single" w:color="000000" w:sz="4"/>
                    <w:bottom w:val="single" w:color="000000" w:sz="4"/>
                    <w:right w:val="single" w:color="000000" w:sz="4"/>
                  </w:tcBorders>
                  <w:vAlign w:val="top"/>
                </w:tcPr>
                <w:p>
                  <w:pPr>
                    <w:jc w:val="center"/>
                  </w:pPr>
                  <w:r>
                    <w:rPr>
                      <w:sz w:val="21"/>
                    </w:rPr>
                    <w:t>项目平面图</w:t>
                  </w:r>
                </w:p>
              </w:tc>
              <w:tc>
                <w:tcPr>
                  <w:tcW w:type="dxa" w:w="48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519"/>
                  <w:tcBorders>
                    <w:top w:val="none" w:color="000000" w:sz="4"/>
                    <w:left w:val="single" w:color="000000" w:sz="4"/>
                    <w:bottom w:val="single" w:color="000000" w:sz="4"/>
                    <w:right w:val="single" w:color="000000" w:sz="4"/>
                  </w:tcBorders>
                  <w:vAlign w:val="top"/>
                </w:tcPr>
                <w:p>
                  <w:pPr>
                    <w:jc w:val="center"/>
                  </w:pPr>
                  <w:r>
                    <w:rPr>
                      <w:sz w:val="21"/>
                    </w:rPr>
                    <w:t>10天</w:t>
                  </w:r>
                </w:p>
              </w:tc>
              <w:tc>
                <w:tcPr>
                  <w:tcW w:type="dxa" w:w="463"/>
                  <w:tcBorders>
                    <w:top w:val="none" w:color="000000" w:sz="4"/>
                    <w:left w:val="single" w:color="000000" w:sz="4"/>
                    <w:bottom w:val="single" w:color="000000" w:sz="4"/>
                    <w:right w:val="single" w:color="000000" w:sz="4"/>
                  </w:tcBorders>
                  <w:vAlign w:val="top"/>
                </w:tcPr>
                <w:p>
                  <w:pPr>
                    <w:jc w:val="center"/>
                  </w:pPr>
                </w:p>
              </w:tc>
            </w:tr>
            <w:tr>
              <w:tc>
                <w:tcPr>
                  <w:tcW w:type="dxa" w:w="65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78"/>
                  <w:tcBorders>
                    <w:top w:val="none" w:color="000000" w:sz="4"/>
                    <w:left w:val="single" w:color="000000" w:sz="4"/>
                    <w:bottom w:val="single" w:color="000000" w:sz="4"/>
                    <w:right w:val="single" w:color="000000" w:sz="4"/>
                  </w:tcBorders>
                  <w:vAlign w:val="top"/>
                </w:tcPr>
                <w:p>
                  <w:pPr>
                    <w:jc w:val="center"/>
                  </w:pPr>
                  <w:r>
                    <w:rPr>
                      <w:sz w:val="21"/>
                    </w:rPr>
                    <w:t>电缆沟及管井施工图设计</w:t>
                  </w:r>
                </w:p>
              </w:tc>
              <w:tc>
                <w:tcPr>
                  <w:tcW w:type="dxa" w:w="48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519"/>
                  <w:tcBorders>
                    <w:top w:val="none" w:color="000000" w:sz="4"/>
                    <w:left w:val="single" w:color="000000" w:sz="4"/>
                    <w:bottom w:val="single" w:color="000000" w:sz="4"/>
                    <w:right w:val="single" w:color="000000" w:sz="4"/>
                  </w:tcBorders>
                  <w:vAlign w:val="top"/>
                </w:tcPr>
                <w:p>
                  <w:pPr>
                    <w:jc w:val="center"/>
                  </w:pPr>
                  <w:r>
                    <w:rPr>
                      <w:sz w:val="21"/>
                    </w:rPr>
                    <w:t>10天</w:t>
                  </w:r>
                </w:p>
              </w:tc>
              <w:tc>
                <w:tcPr>
                  <w:tcW w:type="dxa" w:w="463"/>
                  <w:tcBorders>
                    <w:top w:val="none" w:color="000000" w:sz="4"/>
                    <w:left w:val="single" w:color="000000" w:sz="4"/>
                    <w:bottom w:val="single" w:color="000000" w:sz="4"/>
                    <w:right w:val="single" w:color="000000" w:sz="4"/>
                  </w:tcBorders>
                  <w:vAlign w:val="top"/>
                </w:tcPr>
                <w:p>
                  <w:pPr>
                    <w:jc w:val="center"/>
                  </w:pPr>
                </w:p>
              </w:tc>
            </w:tr>
            <w:tr>
              <w:tc>
                <w:tcPr>
                  <w:tcW w:type="dxa" w:w="65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478"/>
                  <w:tcBorders>
                    <w:top w:val="none" w:color="000000" w:sz="4"/>
                    <w:left w:val="single" w:color="000000" w:sz="4"/>
                    <w:bottom w:val="single" w:color="000000" w:sz="4"/>
                    <w:right w:val="single" w:color="000000" w:sz="4"/>
                  </w:tcBorders>
                  <w:vAlign w:val="top"/>
                </w:tcPr>
                <w:p>
                  <w:pPr>
                    <w:jc w:val="center"/>
                  </w:pPr>
                  <w:r>
                    <w:rPr>
                      <w:sz w:val="21"/>
                    </w:rPr>
                    <w:t>高压供电系统的系统图和施工图</w:t>
                  </w:r>
                </w:p>
              </w:tc>
              <w:tc>
                <w:tcPr>
                  <w:tcW w:type="dxa" w:w="48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519"/>
                  <w:tcBorders>
                    <w:top w:val="none" w:color="000000" w:sz="4"/>
                    <w:left w:val="single" w:color="000000" w:sz="4"/>
                    <w:bottom w:val="single" w:color="000000" w:sz="4"/>
                    <w:right w:val="single" w:color="000000" w:sz="4"/>
                  </w:tcBorders>
                  <w:vAlign w:val="top"/>
                </w:tcPr>
                <w:p>
                  <w:pPr>
                    <w:jc w:val="center"/>
                  </w:pPr>
                  <w:r>
                    <w:rPr>
                      <w:sz w:val="21"/>
                    </w:rPr>
                    <w:t>10天</w:t>
                  </w:r>
                </w:p>
              </w:tc>
              <w:tc>
                <w:tcPr>
                  <w:tcW w:type="dxa" w:w="463"/>
                  <w:tcBorders>
                    <w:top w:val="none" w:color="000000" w:sz="4"/>
                    <w:left w:val="single" w:color="000000" w:sz="4"/>
                    <w:bottom w:val="single" w:color="000000" w:sz="4"/>
                    <w:right w:val="single" w:color="000000" w:sz="4"/>
                  </w:tcBorders>
                  <w:vAlign w:val="top"/>
                </w:tcPr>
                <w:p>
                  <w:pPr>
                    <w:jc w:val="center"/>
                  </w:pPr>
                </w:p>
              </w:tc>
            </w:tr>
            <w:tr>
              <w:tc>
                <w:tcPr>
                  <w:tcW w:type="dxa" w:w="65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478"/>
                  <w:tcBorders>
                    <w:top w:val="none" w:color="000000" w:sz="4"/>
                    <w:left w:val="single" w:color="000000" w:sz="4"/>
                    <w:bottom w:val="single" w:color="000000" w:sz="4"/>
                    <w:right w:val="single" w:color="000000" w:sz="4"/>
                  </w:tcBorders>
                  <w:vAlign w:val="top"/>
                </w:tcPr>
                <w:p>
                  <w:pPr>
                    <w:jc w:val="center"/>
                  </w:pPr>
                  <w:r>
                    <w:rPr>
                      <w:sz w:val="21"/>
                    </w:rPr>
                    <w:t>竣工图</w:t>
                  </w:r>
                </w:p>
              </w:tc>
              <w:tc>
                <w:tcPr>
                  <w:tcW w:type="dxa" w:w="48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519"/>
                  <w:tcBorders>
                    <w:top w:val="none" w:color="000000" w:sz="4"/>
                    <w:left w:val="single" w:color="000000" w:sz="4"/>
                    <w:bottom w:val="single" w:color="000000" w:sz="4"/>
                    <w:right w:val="single" w:color="000000" w:sz="4"/>
                  </w:tcBorders>
                  <w:vAlign w:val="top"/>
                </w:tcPr>
                <w:p>
                  <w:pPr>
                    <w:jc w:val="center"/>
                  </w:pPr>
                  <w:r>
                    <w:rPr>
                      <w:sz w:val="21"/>
                    </w:rPr>
                    <w:t>竣工验收合格后</w:t>
                  </w:r>
                  <w:r>
                    <w:rPr>
                      <w:sz w:val="21"/>
                    </w:rPr>
                    <w:t>20天</w:t>
                  </w:r>
                </w:p>
              </w:tc>
              <w:tc>
                <w:tcPr>
                  <w:tcW w:type="dxa" w:w="463"/>
                  <w:tcBorders>
                    <w:top w:val="none" w:color="000000" w:sz="4"/>
                    <w:left w:val="single" w:color="000000" w:sz="4"/>
                    <w:bottom w:val="single" w:color="000000" w:sz="4"/>
                    <w:right w:val="single" w:color="000000" w:sz="4"/>
                  </w:tcBorders>
                  <w:vAlign w:val="top"/>
                </w:tcPr>
                <w:p>
                  <w:pPr>
                    <w:jc w:val="center"/>
                  </w:pPr>
                </w:p>
              </w:tc>
            </w:tr>
          </w:tbl>
          <w:p>
            <w:pPr>
              <w:jc w:val="left"/>
            </w:pPr>
            <w:r>
              <w:rPr>
                <w:sz w:val="21"/>
              </w:rPr>
              <w:t>3、施工要求：</w:t>
            </w:r>
          </w:p>
          <w:p>
            <w:pPr>
              <w:jc w:val="left"/>
            </w:pPr>
            <w:r>
              <w:rPr>
                <w:sz w:val="21"/>
              </w:rPr>
              <w:t>3.1必须为该项目成立专业的施工团队（列出项目人员架构表），拟派的施工人员管理架构设置必须满足工程施工需要。</w:t>
            </w:r>
          </w:p>
          <w:p>
            <w:pPr>
              <w:jc w:val="left"/>
            </w:pPr>
            <w:r>
              <w:rPr>
                <w:sz w:val="21"/>
              </w:rPr>
              <w:t>▲3.2必须与采购人进行深入交流和充分沟通，并踏勘现场，详细列出施工项目需要采购人提供资料和文件的清单。</w:t>
            </w:r>
          </w:p>
          <w:p>
            <w:pPr>
              <w:jc w:val="left"/>
            </w:pPr>
            <w:r>
              <w:rPr>
                <w:sz w:val="21"/>
              </w:rPr>
              <w:t>3.3必须有本工程施工成果控制措施，如要有组织保证措施、进度保证措施和质量保证措施。</w:t>
            </w:r>
          </w:p>
          <w:p>
            <w:pPr>
              <w:jc w:val="left"/>
            </w:pPr>
            <w:r>
              <w:rPr>
                <w:sz w:val="21"/>
              </w:rPr>
              <w:t>3.4不得随意更换磋商响应文件中所报的项目负责人，如确须更换，则事前须征得</w:t>
            </w:r>
            <w:r>
              <w:rPr>
                <w:sz w:val="21"/>
              </w:rPr>
              <w:t>采购人</w:t>
            </w:r>
            <w:r>
              <w:rPr>
                <w:sz w:val="21"/>
              </w:rPr>
              <w:t>同意，如有违反，一经发现取消成交资格，并赔偿由此造成的一切损失</w:t>
            </w:r>
            <w:r>
              <w:rPr>
                <w:sz w:val="21"/>
              </w:rPr>
              <w:t>(包含质量安全事故、拖延工期、增加投资等损失)。在施工过程中，造成损失的，按实际发生额赔偿。</w:t>
            </w:r>
          </w:p>
          <w:p>
            <w:pPr>
              <w:jc w:val="left"/>
            </w:pPr>
            <w:r>
              <w:rPr>
                <w:sz w:val="21"/>
              </w:rPr>
              <w:t>3.5本项目的材料、设备、施工须达到《施工设计图》设计说明设计依据中规定的国家、省、市或行业的建设工程的施工、验收规范及标准要求。</w:t>
            </w:r>
          </w:p>
          <w:p>
            <w:pPr>
              <w:jc w:val="left"/>
            </w:pPr>
            <w:r>
              <w:rPr>
                <w:sz w:val="21"/>
              </w:rPr>
              <w:t>3.6收到成交通知书后，在联合设计期间应主动联系</w:t>
            </w:r>
            <w:r>
              <w:rPr>
                <w:sz w:val="21"/>
              </w:rPr>
              <w:t>采购人</w:t>
            </w:r>
            <w:r>
              <w:rPr>
                <w:sz w:val="21"/>
              </w:rPr>
              <w:t>，组织现场二次勘察，参加采购人组织的图纸汇审会议，并提出工程施工设计图的施工重点难点，并与有关各方研讨后，深化施工设计图纸和细化实施方案。</w:t>
            </w:r>
          </w:p>
          <w:p>
            <w:pPr>
              <w:jc w:val="left"/>
            </w:pPr>
            <w:r>
              <w:rPr>
                <w:sz w:val="21"/>
              </w:rPr>
              <w:t>3.7工程项目施工和工艺及流程必须符合《施工设计图》的设计要求。</w:t>
            </w:r>
          </w:p>
          <w:p>
            <w:pPr>
              <w:jc w:val="left"/>
            </w:pPr>
            <w:r>
              <w:rPr>
                <w:sz w:val="21"/>
              </w:rPr>
              <w:t>3.8施工前应向采购人申报施工方案，经审批后严格执行，每道工序需符合相应的规范要求并申报，经采购人驻现场人员签字确认后才进入下道工序。</w:t>
            </w:r>
          </w:p>
          <w:p>
            <w:pPr>
              <w:jc w:val="left"/>
            </w:pPr>
            <w:r>
              <w:rPr>
                <w:sz w:val="21"/>
              </w:rPr>
              <w:t>★3.9施工过程不得随意停电及影响采购人正常工作，不能损坏采购人的设备和设施。如施工需要临时停电，需与采购人沟通采购后备电源，以保证院区的临时供电。</w:t>
            </w:r>
          </w:p>
          <w:p>
            <w:pPr>
              <w:jc w:val="left"/>
            </w:pPr>
            <w:r>
              <w:rPr>
                <w:sz w:val="21"/>
              </w:rPr>
              <w:t>★3.10必须经相关部门审批施工许可后才能动工，施工过程中保护好市政公共设施，如造成损害将由成交供应商负责。</w:t>
            </w:r>
          </w:p>
          <w:p>
            <w:pPr>
              <w:jc w:val="left"/>
            </w:pPr>
            <w:r>
              <w:rPr>
                <w:sz w:val="21"/>
              </w:rPr>
              <w:t>3.11必须做好施工人员管理工作，施工人员着装要规范，不得随意进入院区的非施工区域。</w:t>
            </w:r>
          </w:p>
          <w:p>
            <w:pPr>
              <w:jc w:val="left"/>
            </w:pPr>
            <w:r>
              <w:rPr>
                <w:sz w:val="21"/>
              </w:rPr>
              <w:t>3.12必须做好施工及工地管理工作，贯彻落实好规范的管理措施。</w:t>
            </w:r>
          </w:p>
          <w:p>
            <w:pPr>
              <w:jc w:val="left"/>
            </w:pPr>
            <w:r>
              <w:rPr>
                <w:sz w:val="21"/>
              </w:rPr>
              <w:t>3.13必须做好各种安全管理工作，确保施工用电、用水和防火安全，遵守文明施工管理规定。</w:t>
            </w:r>
          </w:p>
          <w:p>
            <w:pPr>
              <w:jc w:val="left"/>
            </w:pPr>
            <w:r>
              <w:rPr>
                <w:sz w:val="21"/>
              </w:rPr>
              <w:t>3.14必须做好工地环境保护工作，落实控制好噪声、粉尘、气味等污染物措施。</w:t>
            </w:r>
          </w:p>
          <w:p>
            <w:pPr>
              <w:jc w:val="left"/>
            </w:pPr>
            <w:r>
              <w:rPr>
                <w:sz w:val="21"/>
              </w:rPr>
              <w:t>4、质量要求：</w:t>
            </w:r>
          </w:p>
          <w:p>
            <w:pPr>
              <w:jc w:val="left"/>
            </w:pPr>
            <w:r>
              <w:rPr>
                <w:sz w:val="21"/>
              </w:rPr>
              <w:t>4.1施工质量必须符合国家和行业现行质量验收标准，达到合格工程质量标准。</w:t>
            </w:r>
          </w:p>
          <w:p>
            <w:pPr>
              <w:jc w:val="left"/>
            </w:pPr>
            <w:r>
              <w:rPr>
                <w:sz w:val="21"/>
              </w:rPr>
              <w:t>4.2以施工设计图纸和施工说明、设计变更、国家制订的施工和验收标准及有关规范为质量评定验收标准。</w:t>
            </w:r>
          </w:p>
          <w:p>
            <w:pPr>
              <w:jc w:val="left"/>
            </w:pPr>
            <w:r>
              <w:rPr>
                <w:sz w:val="21"/>
              </w:rPr>
              <w:t>4.3工程技术标准应达到相关国家、省、市和行业的法律法规、技术规范规定的施工和验收标准。</w:t>
            </w:r>
          </w:p>
          <w:p>
            <w:pPr>
              <w:jc w:val="left"/>
            </w:pPr>
            <w:r>
              <w:rPr>
                <w:sz w:val="21"/>
              </w:rPr>
              <w:t>5、验收要求：</w:t>
            </w:r>
          </w:p>
          <w:p>
            <w:pPr>
              <w:jc w:val="left"/>
            </w:pPr>
            <w:r>
              <w:rPr>
                <w:sz w:val="21"/>
              </w:rPr>
              <w:t>5.1本项目的验收标准执行货物制造行业的国家和行业制作标准和规范等条例。</w:t>
            </w:r>
          </w:p>
          <w:p>
            <w:pPr>
              <w:jc w:val="left"/>
            </w:pPr>
            <w:r>
              <w:rPr>
                <w:sz w:val="21"/>
              </w:rPr>
              <w:t>5.2根据施工设计图纸和施工质量情况验收。</w:t>
            </w:r>
          </w:p>
          <w:p>
            <w:pPr>
              <w:jc w:val="left"/>
            </w:pPr>
            <w:r>
              <w:rPr>
                <w:sz w:val="21"/>
              </w:rPr>
              <w:t>5.3根据现场安装质量与环境的结合情况验收。</w:t>
            </w:r>
          </w:p>
          <w:p>
            <w:pPr>
              <w:jc w:val="left"/>
            </w:pPr>
            <w:r>
              <w:rPr>
                <w:sz w:val="21"/>
              </w:rPr>
              <w:t>5.5成交供应商在施工中如果存在工程质量不符合国家相关规范和招响应文件的有关规定的情况，采购人要求停工或返工时，成交供应商须无条件立即执行，并承担由此产生的各种费用，工期不予顺延。</w:t>
            </w:r>
          </w:p>
          <w:p>
            <w:pPr>
              <w:jc w:val="left"/>
            </w:pPr>
            <w:r>
              <w:rPr>
                <w:sz w:val="21"/>
              </w:rPr>
              <w:t>▲6.本项目为固定总价包干工程，完工后必需达到供电局验收标准，满足采购人使用要求。</w:t>
            </w:r>
          </w:p>
          <w:p>
            <w:pPr>
              <w:jc w:val="left"/>
            </w:pPr>
            <w:r>
              <w:rPr>
                <w:sz w:val="21"/>
              </w:rPr>
              <w:t>7、资料与归档：</w:t>
            </w:r>
          </w:p>
          <w:p>
            <w:pPr>
              <w:jc w:val="left"/>
            </w:pPr>
            <w:r>
              <w:rPr>
                <w:sz w:val="21"/>
              </w:rPr>
              <w:t>7.1成交供应商必须对项目所有的资料和文件进行收集和整理。并加以分析调研选用。</w:t>
            </w:r>
          </w:p>
          <w:p>
            <w:pPr>
              <w:jc w:val="left"/>
            </w:pPr>
            <w:r>
              <w:rPr>
                <w:sz w:val="21"/>
              </w:rPr>
              <w:t>7.2本项目验收后30个工作天内向采取人提供完整的竣工验收资料、竣工图纸及竣工图电子文件光盘，竣工验收资料须按工程档案管理的有关要求编制成册。在完成上述工作后10天内提供工程结算书及相关资料统一送采购人审核，确认后办理结算手续。</w:t>
            </w:r>
          </w:p>
          <w:p>
            <w:pPr>
              <w:jc w:val="left"/>
            </w:pPr>
            <w:r>
              <w:rPr>
                <w:sz w:val="21"/>
              </w:rPr>
              <w:t>7.3提交竣工验收报告时，成交供应商应当向采购人出具质量保修书；质量保修书应明确保修范围、保修期限和保修责任等。</w:t>
            </w:r>
          </w:p>
          <w:p>
            <w:pPr>
              <w:jc w:val="left"/>
            </w:pPr>
            <w:r>
              <w:rPr>
                <w:sz w:val="21"/>
              </w:rPr>
              <w:t>8、质量保修：</w:t>
            </w:r>
          </w:p>
          <w:p>
            <w:pPr>
              <w:jc w:val="left"/>
            </w:pPr>
            <w:r>
              <w:rPr>
                <w:sz w:val="21"/>
              </w:rPr>
              <w:t>8.1本项目工程质量保修期≥两年，质量保修期从验收双方签字确认之日起计算。</w:t>
            </w:r>
          </w:p>
          <w:p>
            <w:pPr>
              <w:jc w:val="left"/>
            </w:pPr>
            <w:r>
              <w:rPr>
                <w:sz w:val="21"/>
              </w:rPr>
              <w:t>8.2保修责任要求：</w:t>
            </w:r>
          </w:p>
          <w:p>
            <w:pPr>
              <w:jc w:val="left"/>
            </w:pPr>
            <w:r>
              <w:rPr>
                <w:sz w:val="21"/>
              </w:rPr>
              <w:t>8.2.1属于保修范围的项目，成交供应商应在接到采购人通知后的2小时内派人到现场保修。</w:t>
            </w:r>
          </w:p>
          <w:p>
            <w:pPr>
              <w:jc w:val="left"/>
            </w:pPr>
            <w:r>
              <w:rPr>
                <w:sz w:val="21"/>
              </w:rPr>
              <w:t>8.2.2发生紧急抢修事故的，成交供应商应在接到通知后，应立即赶赴现场进行抢修。</w:t>
            </w:r>
          </w:p>
          <w:p>
            <w:pPr>
              <w:jc w:val="left"/>
            </w:pPr>
            <w:r>
              <w:rPr>
                <w:sz w:val="21"/>
              </w:rPr>
              <w:t>8.2.3在保修期内出现的质量问题,成交供应商应在接到采购人的通知后,三天内完成返修,费用由成交供应商负责。如接到通知三天后不进行返修,采购人可自行维修,费用从质量保证金中扣除。</w:t>
            </w:r>
          </w:p>
          <w:p>
            <w:pPr>
              <w:jc w:val="left"/>
            </w:pPr>
            <w:r>
              <w:rPr>
                <w:sz w:val="21"/>
              </w:rPr>
              <w:t>▲8.2.4两年内提供无条件维修服务，10年内有维修零配件供应。</w:t>
            </w:r>
          </w:p>
          <w:p>
            <w:pPr>
              <w:jc w:val="left"/>
            </w:pPr>
            <w:r>
              <w:rPr>
                <w:sz w:val="21"/>
              </w:rPr>
              <w:t>▲8.2.5在项目所在地有固定的维修服务点（</w:t>
            </w:r>
            <w:r>
              <w:rPr>
                <w:sz w:val="21"/>
              </w:rPr>
              <w:t>响应</w:t>
            </w:r>
            <w:r>
              <w:rPr>
                <w:sz w:val="21"/>
              </w:rPr>
              <w:t>供应商未有项目所在地维修服务点需承诺在成交后</w:t>
            </w:r>
            <w:r>
              <w:rPr>
                <w:sz w:val="21"/>
              </w:rPr>
              <w:t>10日内在项目所在地设立维修服务点），有指定的质保负责人，质保负责人和维修人员要有常联系的电话，且电话号码不能频繁更换。其通信工具应24小时保持畅通（需提供承诺函）。</w:t>
            </w:r>
          </w:p>
          <w:p>
            <w:pPr>
              <w:jc w:val="left"/>
            </w:pPr>
            <w:r>
              <w:rPr>
                <w:sz w:val="21"/>
              </w:rPr>
              <w:t>9、售后服务要求：</w:t>
            </w:r>
          </w:p>
          <w:p>
            <w:pPr>
              <w:jc w:val="left"/>
            </w:pPr>
            <w:r>
              <w:rPr>
                <w:sz w:val="21"/>
              </w:rPr>
              <w:t>9.1在保修期内，供货商所供货物实行包修、包换、包退、包维护保养，货物或零部件因非人为因素出现故障而造成短期停用时，则质保期和无条件维修期相应顺延，如停用时间累计超过60天则质保期重新计算。</w:t>
            </w:r>
          </w:p>
          <w:p>
            <w:pPr>
              <w:jc w:val="left"/>
            </w:pPr>
            <w:r>
              <w:rPr>
                <w:sz w:val="21"/>
              </w:rPr>
              <w:t>9.2保修期内接到采购人报修，要立即响应，2小时内到达现场维修，24小时内货物要恢复正常使用。</w:t>
            </w:r>
          </w:p>
          <w:p>
            <w:pPr>
              <w:jc w:val="left"/>
            </w:pPr>
            <w:r>
              <w:rPr>
                <w:sz w:val="21"/>
              </w:rPr>
              <w:t>9.3要有彻实可行的售后服务质量保证和保障措施。</w:t>
            </w:r>
          </w:p>
          <w:p>
            <w:pPr>
              <w:jc w:val="left"/>
            </w:pPr>
            <w:r>
              <w:rPr>
                <w:sz w:val="21"/>
              </w:rPr>
              <w:t>★10、合同要求：如项目响应供应商在合同时间内，新电源接入点及电缆敷设路径未能获得供电及相关部门的批准，立即终止合同，前期所有费用由成交供应商承担。</w:t>
            </w:r>
          </w:p>
          <w:p>
            <w:pPr>
              <w:jc w:val="left"/>
            </w:pPr>
            <w:r>
              <w:rPr>
                <w:sz w:val="21"/>
              </w:rPr>
              <w:t>（四）伴随服务要求</w:t>
            </w:r>
          </w:p>
          <w:p>
            <w:pPr>
              <w:jc w:val="left"/>
            </w:pPr>
            <w:r>
              <w:rPr>
                <w:sz w:val="21"/>
              </w:rPr>
              <w:t>1、所有货物均由成交供应商无条件送货至采购人指定的交货地点并安装连接，将设备调试到最佳状态，安装调试应以本需求书要求的技术参数指标为标准。</w:t>
            </w:r>
          </w:p>
          <w:p>
            <w:pPr>
              <w:jc w:val="left"/>
            </w:pPr>
            <w:r>
              <w:rPr>
                <w:sz w:val="21"/>
              </w:rPr>
              <w:t>2、应按出厂标准及国家有关要求进行包装及运输。</w:t>
            </w:r>
          </w:p>
          <w:p>
            <w:pPr>
              <w:jc w:val="left"/>
            </w:pPr>
            <w:r>
              <w:rPr>
                <w:sz w:val="21"/>
              </w:rPr>
              <w:t>3、成交供应商必须负责对采购人人员进行操作、维修培训，帮助采购人人员提高日常基本维护技能和系统的操作、管理，满足工作的需要。</w:t>
            </w:r>
          </w:p>
          <w:p>
            <w:pPr>
              <w:jc w:val="left"/>
            </w:pPr>
            <w:r>
              <w:rPr>
                <w:sz w:val="21"/>
              </w:rPr>
              <w:t>（五）包装和发运要求</w:t>
            </w:r>
          </w:p>
          <w:p>
            <w:pPr>
              <w:jc w:val="left"/>
            </w:pPr>
            <w:r>
              <w:rPr>
                <w:sz w:val="21"/>
              </w:rPr>
              <w:t>1、货物的包装和发运必须符合货物特性要求。充分考虑到运输途中的各种情况（如暴露于恶劣气候等）和采购人所在地的气候特点，以及露天存放的需要。</w:t>
            </w:r>
          </w:p>
          <w:p>
            <w:pPr>
              <w:jc w:val="left"/>
            </w:pPr>
            <w:r>
              <w:rPr>
                <w:sz w:val="21"/>
              </w:rPr>
              <w:t>2、专用工具及备品备件应分别包装，并在包装箱外加以注明其用处。</w:t>
            </w:r>
          </w:p>
          <w:p>
            <w:pPr>
              <w:jc w:val="left"/>
            </w:pPr>
            <w:r>
              <w:rPr>
                <w:sz w:val="21"/>
              </w:rPr>
              <w:t>3、在运送货物至交货地点的路途中所发生的一切费用由成交供应商承担。</w:t>
            </w:r>
          </w:p>
          <w:p>
            <w:pPr>
              <w:jc w:val="left"/>
            </w:pPr>
            <w:r>
              <w:rPr>
                <w:sz w:val="21"/>
              </w:rPr>
              <w:t>4、为了保证货物在长途运输和装卸过程中的安全，货物包装应符合国家或行业标准规定。由于包装不善导致货物锈蚀、失缺或损坏，由成交供应商承担一切责任。</w:t>
            </w:r>
          </w:p>
          <w:p>
            <w:pPr>
              <w:jc w:val="left"/>
            </w:pPr>
            <w:r>
              <w:rPr>
                <w:sz w:val="21"/>
              </w:rPr>
              <w:t>5、所有设备包装费、运费已包含在响应报价内。</w:t>
            </w:r>
          </w:p>
          <w:p>
            <w:pPr>
              <w:jc w:val="left"/>
            </w:pPr>
            <w:r>
              <w:rPr>
                <w:sz w:val="21"/>
              </w:rPr>
              <w:t>（六）其他要求</w:t>
            </w:r>
          </w:p>
          <w:p>
            <w:pPr>
              <w:jc w:val="both"/>
            </w:pPr>
            <w:r>
              <w:rPr>
                <w:sz w:val="21"/>
              </w:rPr>
              <w:t>▲1、响应供应商项目负责人必须全盘掌握采购项目的工作进展情况，保持通讯畅通，能随时答复采购人的询问。</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南方医科大学口腔医院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成交）供应商在领取《成交通知书》前一次性向采购代理机构交纳以下金额：￥11,400.00元（大写：人民币壹万壹仟肆佰元整）。</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2</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；请各供应商在响应文件递交截止时间前按须知前附表规定的金额递交至</w:t>
      </w:r>
      <w:r>
        <w:rPr/>
        <w:t>广州市国科招标代理有限公司</w:t>
      </w:r>
      <w:r>
        <w:rPr/>
        <w:t>，到账情况以开启时</w:t>
      </w:r>
      <w:r>
        <w:rPr/>
        <w:t>广州市国科招标代理有限公司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梁伟雄、梁思瑶</w:t>
      </w:r>
    </w:p>
    <w:p>
      <w:pPr>
        <w:ind w:firstLine="480"/>
      </w:pPr>
      <w:r>
        <w:rPr/>
        <w:t>电话：</w:t>
      </w:r>
      <w:r>
        <w:rPr/>
        <w:t>020-86704134、020-87687817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采购包1(盘福院区更换10KV电缆工程)：综合评分法,是指响应文件满足磋商文件全部实质性要求，且按照评审因素的量化指标评审得分最高的投标人为成交候选人的评标方法。（最低报价不是成交的唯一依据。）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采购包1（盘福院区更换10KV电缆工程）：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采购包1（盘福院区更换10KV电缆工程）：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响应时提交有效的营业执照（或事业法人登记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提供磋商截止日前6个月内任意1个月依法缴纳税收和社会保障资金的相关材料。如依法免税或不需要缴纳社会保障资金的，提供相应证明材料。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供应商必须具有良好的商业信誉和健全的财务会计制度（提供2022年度或2023年度财务状况报告或基本开户行出具的资信证明）。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单位负责人为同一人或者存在直接控股、管理关系的不同供应商，不得同时参加本采购项目响应。 为本项目提供整体设计、规范编制或者项目管理、监理、检测等服务的供应商，不得再参与本项目响应。 响应承诺函相关承诺要求内容。</w:t>
            </w:r>
          </w:p>
        </w:tc>
      </w:tr>
      <w:tr>
        <w:tc>
          <w:tcPr>
            <w:tcW w:type="dxa" w:w="890"/>
          </w:tcPr>
          <w:p>
            <w:r>
              <w:rPr/>
              <w:t>8</w:t>
            </w:r>
          </w:p>
        </w:tc>
        <w:tc>
          <w:tcPr>
            <w:tcW w:type="dxa" w:w="3178"/>
          </w:tcPr>
          <w:p>
            <w:r>
              <w:rPr/>
              <w:t>特定资格要求（企业资质）</w:t>
            </w:r>
          </w:p>
        </w:tc>
        <w:tc>
          <w:tcPr>
            <w:tcW w:type="dxa" w:w="4238"/>
          </w:tcPr>
          <w:p>
            <w:r>
              <w:rPr/>
              <w:t>1）响应供应商须同时具备以下资质： ①工程设计资质：工程设计综合甲级资质，或工程设计资质【电力行业设计丙级（或以上）资质，或电力行业（送电工程）专业设计丙级（或以上）资质】。  香港企业作为设计方单独参加响应的，须在广东省住房和城乡建设主管部门备案且备案的业务范围为基建及发展类别第一组。 注:a.国内申请人具体资质要求按照《建设工程勘察设计资质管理规定》（建设部令第160号）、《建设工程勘察设计资质管理规定实施意见》（建市[2007]202号）、《工程勘察、工程设计资质分级标准补充规定》（建设[2001]178号）、《工程设计资质标准》（建市〔2007〕86号）和《住房城乡建设部关于简化建筑业企业资质标准部分指标的通知》(建市[2016]226号)、《住房和城乡建设部办公厅关于建设工程企业资质有关事宜的通知》（建办市函〔2022〕361号）、《住房和城乡建设部办公厅关于做好建筑业“证照分离”改革衔接有关工作的通知》（建办市〔2021〕30号）、《广东省住房和城乡建设厅关于建设工程企业资质有关事宜的通知》（粤建许函〔2022〕846号）要求设置。 b.香港企业备案的业务范围依据《广东省住房和城乡建设厅关于印发香港工程建设咨询企业和专业人士在粤港澳大湾区内地城市开业执业试点管理暂行办法的通知》（粤建规范〔2020〕1号，详见链接：http://zfcxjst.gd.gov.cn/xxgk/wjtz/content/post_3137220.html）确定。 ②施工资质：具有电力工程施工总承包三级（或以上）资质或输变电工程专业承包三级（或以上）资质及有效的《承装（修、试）电力设施许可证》，许可等级为五级（或以上），提供证书复印件， 并具有建设行政主管部门颁发的安全生产许可证。 注：资质内容按照建市[2014]159号文颁布的新版《建筑业企业资质标准》中对应的资质类别及等级的承包工程范围和《住房城乡建设部关于建筑业企业资质管理有关问题的通知》（建市[2015]154号）、《住房城乡建设部关于简化建筑业企业资质标准部分指标的通知》(建市[2016]226号)、《住房和城乡建设部办公厅关于做好建筑业“证照分离”改革衔接有关工作的通知》（建办市〔2021〕30号）、《住房和城乡建设部办公厅关于建设工程企业资质有关事宜的通知》（建办市函〔2022〕361号）、《广东省住房和城乡建设厅关于建设工程企业资质有关事宜的通知》（粤建许函〔2022〕846号）的要求设置。 2）项目负责人（兼施工项目负责人）为机电工程专业二级或以上级别的注册建造师，并持有安全生产考核合格证（B类）或建筑施工企业项目负责人安全生产考核合格证书； 注：响应供应商应提供有效的二级建造师执业资格证书，实行电子注册证书的，打印建造师电子证书后，项目负责人应在个人签名处手写本人签名，提交的证书未手写签名或与签名图像笔迹不一致的，该电子证书无效。 3）设计负责人为电力工程相关专业中级（或以上）工程师；设计负责人与项目负责人不能为同一人。 4）拟投入的专职安全员须具有安全生产考核合格证（C类）或建筑施工企业专职安全生产管理人员安全生产考核合格证书（C3）。 5）拟任本工程项目负责人、设计负责人、安全员3项人员不得兼任。</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特定资格要求（联合体）</w:t>
            </w:r>
          </w:p>
        </w:tc>
        <w:tc>
          <w:tcPr>
            <w:tcW w:type="dxa" w:w="4238"/>
          </w:tcPr>
          <w:p>
            <w:r>
              <w:rPr/>
              <w:t>本项目接受联合体响应。联合体响应的，应满足下列要求： 1）联合体响应的，应以承接施工任务的单位为牵头方，并签订联合体共同响应协议书，联合体共同响应协议书应明确确定联合体牵头方以及约定各方拟承担的工作和责任。联合体各方不得再以自己名义单独或加入其他联合体参加本项目的响应。组成联合体承接按资质标准划分为同一类工程的响应供应商，其人员、资金、机械设备等资源性指标在资格审查、择优和评标环节可合并计算。 2）联合体中按资质标准划分为同一类工程的成员单位，均应满足响应供应商人资格要求（除项目负责人、专职安全员由联合体牵头方提供并满足响应资格要求外）对本类资格条件的要求。联合体的资格条件按联合体任务分工进行评审，其中施工资质、安全生产许可证以承接施工任务的成员单位为准；项目负责人、专职安全员以联合体牵头方为准；工程设计资质、设计负责人以承接设计任务的成员单位为准；由同一专业的单位组成的联合体，按照资质等级较低的单位确定资质等级。 3）允许联合体投标，但只接受最多由2家单位（1家设计单位、1家施工单位）组成的联合体，联合体中承担工程施工任务的一方为主办方，其余成员为协办方。并签定《联合体协议书》。《联合体协议书》应明确约定各方拟承担的工作和责任。</w:t>
            </w:r>
          </w:p>
        </w:tc>
      </w:tr>
      <w:tr>
        <w:tc>
          <w:tcPr>
            <w:tcW w:type="dxa" w:w="890"/>
          </w:tcPr>
          <w:p>
            <w:r>
              <w:rPr/>
              <w:t>11</w:t>
            </w:r>
          </w:p>
        </w:tc>
        <w:tc>
          <w:tcPr>
            <w:tcW w:type="dxa" w:w="3178"/>
          </w:tcPr>
          <w:p>
            <w:r>
              <w:rPr/>
              <w:t>本采购包专门面向中小企业采购</w:t>
            </w:r>
          </w:p>
        </w:tc>
        <w:tc>
          <w:tcPr>
            <w:tcW w:type="dxa" w:w="4238"/>
          </w:tcPr>
          <w:p>
            <w:r>
              <w:rPr/>
              <w:t>采购包整体专门面向中小企业，工程的承建商须为中小微企业或监狱企业或残疾人福利性单位。</w:t>
            </w:r>
          </w:p>
        </w:tc>
      </w:tr>
    </w:tbl>
    <w:p/>
    <w:p>
      <w:pPr>
        <w:ind w:firstLine="480"/>
      </w:pPr>
      <w:r>
        <w:rPr/>
        <w:t>表二符合性审查表：</w:t>
      </w:r>
    </w:p>
    <w:p>
      <w:pPr>
        <w:ind w:firstLine="480"/>
      </w:pPr>
    </w:p>
    <w:p/>
    <w:p>
      <w:r>
        <w:rPr/>
        <w:t>采购包1（盘福院区更换10KV电缆工程）：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投标文件（响应文件）按照项目采购文件规定要求签署、盖章</w:t>
            </w:r>
          </w:p>
        </w:tc>
      </w:tr>
      <w:tr>
        <w:tc>
          <w:tcPr>
            <w:tcW w:type="dxa" w:w="890"/>
          </w:tcPr>
          <w:p>
            <w:r>
              <w:rPr/>
              <w:t>5</w:t>
            </w:r>
          </w:p>
        </w:tc>
        <w:tc>
          <w:tcPr>
            <w:tcW w:type="dxa" w:w="3178"/>
          </w:tcPr>
          <w:p>
            <w:r>
              <w:rPr/>
              <w:t>响应报价</w:t>
            </w:r>
          </w:p>
        </w:tc>
        <w:tc>
          <w:tcPr>
            <w:tcW w:type="dxa" w:w="4238"/>
          </w:tcPr>
          <w:p>
            <w:r>
              <w:rPr/>
              <w:t>响应报价是固定价且未超过本项目采购预算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采购包1(盘福院区更换10KV电缆工程):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重要技术要求响应程度 (20.0分)</w:t>
            </w:r>
          </w:p>
        </w:tc>
        <w:tc>
          <w:tcPr>
            <w:tcW w:type="dxa" w:w="5076"/>
          </w:tcPr>
          <w:p>
            <w:pPr>
              <w:jc w:val="left"/>
            </w:pPr>
            <w:r>
              <w:rPr/>
              <w:t>完全响应或正偏离“技术标准与要求”中的“▲”条款（共5项）的，得20分，每个“▲”条款负偏离或未响应扣4分，最低扣至0分。  注：如磋商文件中有明确提供的证明资料的，则以磋商文件中要求的为准，无或未按要求提供证明材料的不得分；</w:t>
            </w:r>
          </w:p>
        </w:tc>
      </w:tr>
      <w:tr>
        <w:tc>
          <w:tcPr>
            <w:tcW w:type="dxa" w:w="922"/>
            <w:gridSpan w:val="2"/>
            <w:vMerge/>
          </w:tcPr>
          <w:p/>
        </w:tc>
        <w:tc>
          <w:tcPr>
            <w:tcW w:type="dxa" w:w="2307"/>
          </w:tcPr>
          <w:p>
            <w:pPr>
              <w:jc w:val="left"/>
            </w:pPr>
            <w:r>
              <w:rPr/>
              <w:t>施工进度计划及工期保证措施（一） (2.0分)</w:t>
            </w:r>
          </w:p>
        </w:tc>
        <w:tc>
          <w:tcPr>
            <w:tcW w:type="dxa" w:w="5076"/>
          </w:tcPr>
          <w:p>
            <w:pPr>
              <w:jc w:val="left"/>
            </w:pPr>
            <w:r>
              <w:rPr/>
              <w:t>磋商小组根据响应供应商提供的施工进度计划及工期保证措施进行评审，包括以下几个方面： （1）施工进度计划； （2）工期保证措施。 提供全部内容得2分，每缺1项扣1分。</w:t>
            </w:r>
          </w:p>
        </w:tc>
      </w:tr>
      <w:tr>
        <w:tc>
          <w:tcPr>
            <w:tcW w:type="dxa" w:w="922"/>
            <w:gridSpan w:val="2"/>
            <w:vMerge/>
          </w:tcPr>
          <w:p/>
        </w:tc>
        <w:tc>
          <w:tcPr>
            <w:tcW w:type="dxa" w:w="2307"/>
          </w:tcPr>
          <w:p>
            <w:pPr>
              <w:jc w:val="left"/>
            </w:pPr>
            <w:r>
              <w:rPr/>
              <w:t>施工进度计划及工期保证措施（二） (8.0分)</w:t>
            </w:r>
            <w:r>
              <w:rPr/>
              <w:t>，（等次分值选择：</w:t>
            </w:r>
            <w:r>
              <w:rPr/>
              <w:t>0.0;</w:t>
            </w:r>
            <w:r>
              <w:rPr/>
              <w:t>1.0;</w:t>
            </w:r>
            <w:r>
              <w:rPr/>
              <w:t>4.0;</w:t>
            </w:r>
            <w:r>
              <w:rPr/>
              <w:t>8.0;</w:t>
            </w:r>
            <w:r>
              <w:rPr/>
              <w:t>）</w:t>
            </w:r>
          </w:p>
        </w:tc>
        <w:tc>
          <w:tcPr>
            <w:tcW w:type="dxa" w:w="5076"/>
          </w:tcPr>
          <w:p>
            <w:pPr>
              <w:jc w:val="left"/>
            </w:pPr>
            <w:r>
              <w:rPr/>
              <w:t>磋商小组会根据响应供应商提供施工进度计划及工期保证措施（一）的详细内容进行综合评审： （1）对本工程的项目的特点，从施工进度计划、工期保证安排等方面提出完善可行、合理有效的计划及措施，针对项目具体情况全面分析、细致响应，有效保障本项目实施，有利于实现服务效果，得8分； （2）对本工程项目的特点，从施工进度计划和工期保证安排方面提出合理可行但存在部分瑕疵的方案，但不影响方案实施的，总体上满足项目实施基本需求，基本保障本项目服务实施，基本满足服务效果，得4分； （3）没有对本项目具体分析，就本工程项目提出的施工进度计划和工期安排提出计划措施不合理或者没有针对性，方案措施难以执行的，无法保障本项目服务实施，达不到服务效果，得1分； （4）不提供的得0分。</w:t>
            </w:r>
          </w:p>
        </w:tc>
      </w:tr>
      <w:tr>
        <w:tc>
          <w:tcPr>
            <w:tcW w:type="dxa" w:w="922"/>
            <w:gridSpan w:val="2"/>
            <w:vMerge/>
          </w:tcPr>
          <w:p/>
        </w:tc>
        <w:tc>
          <w:tcPr>
            <w:tcW w:type="dxa" w:w="2307"/>
          </w:tcPr>
          <w:p>
            <w:pPr>
              <w:jc w:val="left"/>
            </w:pPr>
            <w:r>
              <w:rPr/>
              <w:t>工程质量保证措施（一） (2.0分)</w:t>
            </w:r>
          </w:p>
        </w:tc>
        <w:tc>
          <w:tcPr>
            <w:tcW w:type="dxa" w:w="5076"/>
          </w:tcPr>
          <w:p>
            <w:pPr>
              <w:jc w:val="left"/>
            </w:pPr>
            <w:r>
              <w:rPr/>
              <w:t>磋商小组根据响应供应商提供的工程质量保证措施进行评审，包括以下几个方面： （1）质量保证体系； （2）材料的检测。 提供全部内容得2分，每缺1项扣1分。</w:t>
            </w:r>
          </w:p>
        </w:tc>
      </w:tr>
      <w:tr>
        <w:tc>
          <w:tcPr>
            <w:tcW w:type="dxa" w:w="922"/>
            <w:gridSpan w:val="2"/>
            <w:vMerge/>
          </w:tcPr>
          <w:p/>
        </w:tc>
        <w:tc>
          <w:tcPr>
            <w:tcW w:type="dxa" w:w="2307"/>
          </w:tcPr>
          <w:p>
            <w:pPr>
              <w:jc w:val="left"/>
            </w:pPr>
            <w:r>
              <w:rPr/>
              <w:t>工程质量保证措施（二） (8.0分)</w:t>
            </w:r>
            <w:r>
              <w:rPr/>
              <w:t>，（等次分值选择：</w:t>
            </w:r>
            <w:r>
              <w:rPr/>
              <w:t>0.0;</w:t>
            </w:r>
            <w:r>
              <w:rPr/>
              <w:t>1.0;</w:t>
            </w:r>
            <w:r>
              <w:rPr/>
              <w:t>4.0;</w:t>
            </w:r>
            <w:r>
              <w:rPr/>
              <w:t>8.0;</w:t>
            </w:r>
            <w:r>
              <w:rPr/>
              <w:t>）</w:t>
            </w:r>
          </w:p>
        </w:tc>
        <w:tc>
          <w:tcPr>
            <w:tcW w:type="dxa" w:w="5076"/>
          </w:tcPr>
          <w:p>
            <w:pPr>
              <w:jc w:val="left"/>
            </w:pPr>
            <w:r>
              <w:rPr/>
              <w:t>磋商小组根据响应供应商针对本工程的质量目标，项目的特点，从质量保证体系、材料的检测、质量通病的防治等方面提出详细的质量保证措施进行评审： （1）对本工程的质量目标，项目的特点，从质量保证体系、材料的检测、质量通病的防治等方面提出完善的质量保证措施，针对项目具体情况全面分析、细致响应的，有效保障本项目实施，有利于实现服务效果，得8分； （2）对本工程的质量目标，项目的特点，从质量保证体系、材料的检测、质量通病的防治等方面提出的质量保证措施存在部分瑕疵，但不影响方案实施的，总体上能响应项目特点的，基本保障本项目服务实施，基本满足服务效果，得4分； （3）对本工程的质量目标，项目的特点，从质量保证体系、材料的检测、质量通病的防治等方面提出的质量保证措施不完善、有缺漏，或者没针对项目情况具体分析的，无法保障本项目服务实施，达不到服务效果，得1分； （4）不提供的得0分。</w:t>
            </w:r>
          </w:p>
        </w:tc>
      </w:tr>
      <w:tr>
        <w:tc>
          <w:tcPr>
            <w:tcW w:type="dxa" w:w="922"/>
            <w:gridSpan w:val="2"/>
            <w:vMerge/>
          </w:tcPr>
          <w:p/>
        </w:tc>
        <w:tc>
          <w:tcPr>
            <w:tcW w:type="dxa" w:w="2307"/>
          </w:tcPr>
          <w:p>
            <w:pPr>
              <w:jc w:val="left"/>
            </w:pPr>
            <w:r>
              <w:rPr/>
              <w:t>文明、环保施工保证措施（一） (2.0分)</w:t>
            </w:r>
          </w:p>
        </w:tc>
        <w:tc>
          <w:tcPr>
            <w:tcW w:type="dxa" w:w="5076"/>
          </w:tcPr>
          <w:p>
            <w:pPr>
              <w:jc w:val="left"/>
            </w:pPr>
            <w:r>
              <w:rPr/>
              <w:t>磋商小组根据响应供应商提的供文明、环保施工保证措施进行评审，包括以下几个方面： （1）文明施工管理制度； （2）环境保护措施。 提供全部内容得2分，每缺1项扣1分。</w:t>
            </w:r>
          </w:p>
        </w:tc>
      </w:tr>
      <w:tr>
        <w:tc>
          <w:tcPr>
            <w:tcW w:type="dxa" w:w="922"/>
            <w:gridSpan w:val="2"/>
            <w:vMerge/>
          </w:tcPr>
          <w:p/>
        </w:tc>
        <w:tc>
          <w:tcPr>
            <w:tcW w:type="dxa" w:w="2307"/>
          </w:tcPr>
          <w:p>
            <w:pPr>
              <w:jc w:val="left"/>
            </w:pPr>
            <w:r>
              <w:rPr/>
              <w:t>文明、环保施工保证措施（二） (8.0分)</w:t>
            </w:r>
            <w:r>
              <w:rPr/>
              <w:t>，（等次分值选择：</w:t>
            </w:r>
            <w:r>
              <w:rPr/>
              <w:t>0.0;</w:t>
            </w:r>
            <w:r>
              <w:rPr/>
              <w:t>1.0;</w:t>
            </w:r>
            <w:r>
              <w:rPr/>
              <w:t>4.0;</w:t>
            </w:r>
            <w:r>
              <w:rPr/>
              <w:t>8.0;</w:t>
            </w:r>
            <w:r>
              <w:rPr/>
              <w:t>）</w:t>
            </w:r>
          </w:p>
        </w:tc>
        <w:tc>
          <w:tcPr>
            <w:tcW w:type="dxa" w:w="5076"/>
          </w:tcPr>
          <w:p>
            <w:pPr>
              <w:jc w:val="left"/>
            </w:pPr>
            <w:r>
              <w:rPr/>
              <w:t>磋商小组根据响应供应商针对本工程的特点，从文明施工管理制度、环境保护措施等方面提出详细的文明、环保施工保证措施进行评审： （1）对本工程的特点，从文明施工管理制度、环境保护等方面提出完善的文明、环保施工保证措施，针对项目具体情况全面分析、细致响应的，有效保障本项目实施，有利于实现服务效果，得8分； （2）对本工程的特点，从文明施工管理制度、环境保护等方面提出文明、环保施工保证措施存在部分瑕疵，但不影响方案实施的，总体上能响应项目特点的，基本保障本项目服务实施，基本满足服务效果，得4分； （3）对本工程的特点，从文明施工管理制度、环境保护等方面提出文明、环保施工保证措施不完善、有缺漏，或者没针对项目情况具体分析的，无法保障本项目服务实施，达不到服务效果，得1分； （4）不提供的得0分。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响应供应商2020年1月1日至今同类项目（同类项目是指：电力工程）业绩情况，每提供一项合同业绩得1分，最高得5分。   注：须提供合同复印件，以合同签订日期为准，同一项目的业绩不重复计分。提供合同模糊专家无法认定的不得分。</w:t>
            </w:r>
          </w:p>
        </w:tc>
      </w:tr>
      <w:tr>
        <w:tc>
          <w:tcPr>
            <w:tcW w:type="dxa" w:w="922"/>
            <w:gridSpan w:val="2"/>
            <w:vMerge/>
          </w:tcPr>
          <w:p/>
        </w:tc>
        <w:tc>
          <w:tcPr>
            <w:tcW w:type="dxa" w:w="2307"/>
          </w:tcPr>
          <w:p>
            <w:pPr>
              <w:jc w:val="left"/>
            </w:pPr>
            <w:r>
              <w:rPr/>
              <w:t>项目负责人经验 (6.0分)</w:t>
            </w:r>
          </w:p>
        </w:tc>
        <w:tc>
          <w:tcPr>
            <w:tcW w:type="dxa" w:w="5076"/>
          </w:tcPr>
          <w:p>
            <w:pPr>
              <w:jc w:val="left"/>
            </w:pPr>
            <w:r>
              <w:rPr/>
              <w:t>2020年以来项目负责人完成电力工程同类项目，每项得2分，最高得6分。 注：（1）业绩时间以竣工验收报告的竣工验收时间为准； （2）需提供：施工合同、竣工验收报告的扫描件； （3）同一项目的“施工合同、竣工验收报告”等资料上的项目负责人必须为同一人； （4）须提供资质证明材料及以上人员在供应商服务的外部证明材料扫描件，如响应截止日之前六个月以内任意月份的代缴个税税单或参加社会保险的《投保单》或《社会保险参保人员证明》等。不提供的不得分。</w:t>
            </w:r>
          </w:p>
        </w:tc>
      </w:tr>
      <w:tr>
        <w:tc>
          <w:tcPr>
            <w:tcW w:type="dxa" w:w="922"/>
            <w:gridSpan w:val="2"/>
            <w:vMerge/>
          </w:tcPr>
          <w:p/>
        </w:tc>
        <w:tc>
          <w:tcPr>
            <w:tcW w:type="dxa" w:w="2307"/>
          </w:tcPr>
          <w:p>
            <w:pPr>
              <w:jc w:val="left"/>
            </w:pPr>
            <w:r>
              <w:rPr/>
              <w:t>项目管理人员配备  (6.0分)</w:t>
            </w:r>
          </w:p>
        </w:tc>
        <w:tc>
          <w:tcPr>
            <w:tcW w:type="dxa" w:w="5076"/>
          </w:tcPr>
          <w:p>
            <w:pPr>
              <w:jc w:val="left"/>
            </w:pPr>
            <w:r>
              <w:rPr/>
              <w:t>根据响应供应商提供的项目人员配备方案进行综合评分：  （1）技术负责人：响应供应商在满足需求下具有电气工程或电力工程或机电安装等相关专业工程师职称的得2分，本小项最高得2分。  （2）质量负责人：响应供应商在满足需求下具电气工程或电力工程或机电安装等相关专业工程师职称的得2分，本小项最高得2分。  （3）电气工程师：响应供应商在满足需求下具电气工程或电力工程或机电安装等相关专业工程师职称的得2分，本小项最高得2分。  注：以上人员须提供资质证明材料及以上人员在响应截止日之前六个月以内任意月份的代缴个税税单或参加社会保险的《投保单》或《社会保险参保人员证明 》。不提供的不得分。</w:t>
            </w:r>
          </w:p>
        </w:tc>
      </w:tr>
      <w:tr>
        <w:tc>
          <w:tcPr>
            <w:tcW w:type="dxa" w:w="922"/>
            <w:gridSpan w:val="2"/>
            <w:vMerge/>
          </w:tcPr>
          <w:p/>
        </w:tc>
        <w:tc>
          <w:tcPr>
            <w:tcW w:type="dxa" w:w="2307"/>
          </w:tcPr>
          <w:p>
            <w:pPr>
              <w:jc w:val="left"/>
            </w:pPr>
            <w:r>
              <w:rPr/>
              <w:t>体系认证 (3.0分)</w:t>
            </w:r>
          </w:p>
        </w:tc>
        <w:tc>
          <w:tcPr>
            <w:tcW w:type="dxa" w:w="5076"/>
          </w:tcPr>
          <w:p>
            <w:pPr>
              <w:jc w:val="left"/>
            </w:pPr>
            <w:r>
              <w:rPr/>
              <w:t>响应供应商具有质量管理体系认证、环境管理体系认证、职业健康安全管理体系认证，每个证书1分，满分3分。 注：提供有效认证证书复印件作为证明材料，不提供或专家无法认定的不得分。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满足磋商文件要求且磋商价格最低的磋商报价为评标基准价。 磋商报价得分=（评标基准价/磋商报价）×价格分分值 评标过程中，不得去掉报价中的最高报价和最低报价。 因落实政府采购政策进行价格调整的，以调整后的价格计算评标基准价和磋商报价。</w:t>
            </w:r>
          </w:p>
        </w:tc>
      </w:tr>
    </w:tbl>
    <w:p/>
    <w:p>
      <w:r>
        <w:rPr>
          <w:b/>
          <w:sz w:val="24"/>
        </w:rPr>
        <w:t>6.汇总、排序</w:t>
      </w:r>
    </w:p>
    <w:p>
      <w:pPr>
        <w:ind w:firstLine="480"/>
      </w:pPr>
    </w:p>
    <w:p/>
    <w:p>
      <w:r>
        <w:rPr/>
        <w:t>采购包1：</w:t>
      </w:r>
    </w:p>
    <w:p/>
    <w:p>
      <w:r>
        <w:rPr/>
        <w:t>评审结果按评审后总得分由高到低顺序排列。总得分相同的按响应报价由低到高顺序排列。得分且响应报价相同的，按照技术指标优劣顺序推荐。排名第一的响应供应商为第一成交候选人，排名第二的响应供应商为第二成交候选人，排名第三的响应供应商为第三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color w:val="000000"/>
          <w:sz w:val="21"/>
        </w:rPr>
        <w:t>1、合同具体事项须根据采购文件的约定及乙方响应文件的承诺执行；</w:t>
      </w:r>
    </w:p>
    <w:p>
      <w:pPr>
        <w:ind w:firstLine="211"/>
        <w:jc w:val="left"/>
      </w:pPr>
      <w:r>
        <w:rPr>
          <w:b/>
          <w:color w:val="000000"/>
          <w:sz w:val="21"/>
        </w:rPr>
        <w:t>2、</w:t>
      </w:r>
      <w:r>
        <w:rPr>
          <w:b/>
          <w:color w:val="000000"/>
          <w:sz w:val="21"/>
        </w:rPr>
        <w:t>本项目合同为中小企业预留合同。</w:t>
      </w:r>
    </w:p>
    <w:p>
      <w:pPr>
        <w:jc w:val="center"/>
      </w:pPr>
    </w:p>
    <w:p>
      <w:pPr>
        <w:jc w:val="center"/>
      </w:pPr>
    </w:p>
    <w:p>
      <w:pPr>
        <w:jc w:val="both"/>
      </w:pPr>
    </w:p>
    <w:p/>
    <w:p/>
    <w:p>
      <w:r>
        <w:rPr/>
        <w:t xml:space="preserve"> </w:t>
      </w:r>
    </w:p>
    <w:p>
      <w:pPr>
        <w:jc w:val="center"/>
      </w:pPr>
      <w:r>
        <w:rPr>
          <w:b/>
          <w:sz w:val="32"/>
        </w:rPr>
        <w:t>南方医科大学口腔医院（广东省口腔医院）盘福院区更换</w:t>
      </w:r>
      <w:r>
        <w:rPr>
          <w:b/>
          <w:sz w:val="32"/>
        </w:rPr>
        <w:t>10KV</w:t>
      </w:r>
      <w:r>
        <w:rPr>
          <w:b/>
          <w:sz w:val="32"/>
        </w:rPr>
        <w:t>电缆工程合同</w:t>
      </w:r>
    </w:p>
    <w:p>
      <w:pPr>
        <w:jc w:val="both"/>
      </w:pPr>
    </w:p>
    <w:p>
      <w:pPr>
        <w:jc w:val="both"/>
      </w:pPr>
      <w:r>
        <w:rPr>
          <w:b/>
          <w:sz w:val="21"/>
          <w:u w:val="single"/>
        </w:rPr>
        <w:t>南方医科大学口腔医院（广东省口腔医院）（</w:t>
      </w:r>
      <w:r>
        <w:rPr>
          <w:b/>
          <w:sz w:val="21"/>
        </w:rPr>
        <w:t>以下简称甲方）</w:t>
      </w:r>
    </w:p>
    <w:p>
      <w:pPr>
        <w:jc w:val="both"/>
      </w:pPr>
      <w:r>
        <w:rPr>
          <w:b/>
          <w:sz w:val="21"/>
          <w:u w:val="single"/>
        </w:rPr>
        <w:t>（乙方名称）</w:t>
      </w:r>
      <w:r>
        <w:rPr>
          <w:b/>
          <w:sz w:val="21"/>
        </w:rPr>
        <w:t>（以下简称乙方）</w:t>
      </w:r>
    </w:p>
    <w:p>
      <w:pPr>
        <w:ind w:firstLine="455"/>
        <w:jc w:val="both"/>
      </w:pPr>
      <w:r>
        <w:rPr>
          <w:sz w:val="21"/>
        </w:rPr>
        <w:t>依照《中华人民共和国民法典》、《中华人民共和国建筑法》、《建设工程质量管理条例》及其他有关法律、行政法规的规定，经双方平等友好协商，甲方同意将</w:t>
      </w:r>
      <w:r>
        <w:rPr>
          <w:sz w:val="21"/>
          <w:u w:val="single"/>
        </w:rPr>
        <w:t>南方医科大学口腔医院（广东省口腔医院）盘福院区更换</w:t>
      </w:r>
      <w:r>
        <w:rPr>
          <w:sz w:val="21"/>
          <w:u w:val="single"/>
        </w:rPr>
        <w:t>10KV</w:t>
      </w:r>
      <w:r>
        <w:rPr>
          <w:sz w:val="21"/>
          <w:u w:val="single"/>
        </w:rPr>
        <w:t>电缆工程</w:t>
      </w:r>
      <w:r>
        <w:rPr>
          <w:sz w:val="21"/>
        </w:rPr>
        <w:t>委托乙方施工。为明确双方在工程施工中的权利、义务和经济责任，特订立本合同以共同遵守执行：</w:t>
      </w:r>
    </w:p>
    <w:p>
      <w:pPr>
        <w:jc w:val="both"/>
      </w:pPr>
      <w:r>
        <w:rPr>
          <w:b/>
          <w:sz w:val="21"/>
        </w:rPr>
        <w:t>第一条</w:t>
      </w:r>
      <w:r>
        <w:rPr>
          <w:b/>
          <w:sz w:val="21"/>
        </w:rPr>
        <w:t>工程概况及合同标的</w:t>
      </w:r>
    </w:p>
    <w:p>
      <w:pPr>
        <w:ind w:firstLine="455"/>
        <w:jc w:val="both"/>
      </w:pPr>
      <w:r>
        <w:rPr>
          <w:sz w:val="21"/>
        </w:rPr>
        <w:t>1</w:t>
      </w:r>
      <w:r>
        <w:rPr>
          <w:sz w:val="21"/>
        </w:rPr>
        <w:t>、工程名称：南方医科大学口腔医院（广东省口腔医院）盘福院区更换</w:t>
      </w:r>
      <w:r>
        <w:rPr>
          <w:sz w:val="21"/>
        </w:rPr>
        <w:t>10KV</w:t>
      </w:r>
      <w:r>
        <w:rPr>
          <w:sz w:val="21"/>
        </w:rPr>
        <w:t xml:space="preserve">电缆工程                                         </w:t>
      </w:r>
    </w:p>
    <w:p>
      <w:pPr>
        <w:ind w:firstLine="455"/>
        <w:jc w:val="both"/>
      </w:pPr>
      <w:r>
        <w:rPr>
          <w:sz w:val="21"/>
        </w:rPr>
        <w:t>2</w:t>
      </w:r>
      <w:r>
        <w:rPr>
          <w:sz w:val="21"/>
        </w:rPr>
        <w:t>、项目地点：</w:t>
      </w:r>
      <w:r>
        <w:rPr>
          <w:sz w:val="21"/>
        </w:rPr>
        <w:t>采购人指定地点（</w:t>
      </w:r>
      <w:r>
        <w:rPr>
          <w:sz w:val="21"/>
        </w:rPr>
        <w:t>广州市越秀区盘福路</w:t>
      </w:r>
      <w:r>
        <w:rPr>
          <w:sz w:val="21"/>
        </w:rPr>
        <w:t>1</w:t>
      </w:r>
      <w:r>
        <w:rPr>
          <w:sz w:val="21"/>
        </w:rPr>
        <w:t>3-35</w:t>
      </w:r>
      <w:r>
        <w:rPr>
          <w:sz w:val="21"/>
        </w:rPr>
        <w:t>号</w:t>
      </w:r>
      <w:r>
        <w:rPr>
          <w:sz w:val="21"/>
        </w:rPr>
        <w:t>）</w:t>
      </w:r>
      <w:r>
        <w:rPr>
          <w:sz w:val="21"/>
        </w:rPr>
        <w:t xml:space="preserve">                                           </w:t>
      </w:r>
    </w:p>
    <w:p>
      <w:pPr>
        <w:ind w:firstLine="455"/>
        <w:jc w:val="both"/>
      </w:pPr>
      <w:r>
        <w:rPr>
          <w:sz w:val="21"/>
        </w:rPr>
        <w:t>3</w:t>
      </w:r>
      <w:r>
        <w:rPr>
          <w:sz w:val="21"/>
        </w:rPr>
        <w:t>、工程内容：以初步概算施工工程量清单、效果图，</w:t>
      </w:r>
      <w:r>
        <w:rPr>
          <w:sz w:val="21"/>
        </w:rPr>
        <w:t>结合甲方现状对本项目进行针对性的设计和施工</w:t>
      </w:r>
      <w:r>
        <w:rPr>
          <w:sz w:val="21"/>
        </w:rPr>
        <w:t>。</w:t>
      </w:r>
      <w:r>
        <w:rPr>
          <w:sz w:val="21"/>
        </w:rPr>
        <w:t xml:space="preserve">                                               </w:t>
      </w:r>
    </w:p>
    <w:p>
      <w:pPr>
        <w:ind w:firstLine="455"/>
        <w:jc w:val="both"/>
      </w:pPr>
      <w:r>
        <w:rPr>
          <w:sz w:val="21"/>
        </w:rPr>
        <w:t>4</w:t>
      </w:r>
      <w:r>
        <w:rPr>
          <w:sz w:val="21"/>
        </w:rPr>
        <w:t>、承包方式：本项目为交钥匙工程，实行固定总价包干，项目措施费包干。按照货物清单、设计图纸内容，</w:t>
      </w:r>
      <w:r>
        <w:rPr>
          <w:sz w:val="21"/>
        </w:rPr>
        <w:t>采取包设计、包工、包料、包机械、包工期、包质量、包安全生产、包文明施工、包税、包劳保、包运输、包安装、包验收、包保修等的承包方式</w:t>
      </w:r>
      <w:r>
        <w:rPr>
          <w:sz w:val="21"/>
        </w:rPr>
        <w:t>。除采购文件中有明确外，项目不得再以任何方式转包或分包本采购项目。甲方如有合理变更、修改设计的内容响应供应商成交后不得拒绝承担。</w:t>
      </w:r>
    </w:p>
    <w:p>
      <w:pPr>
        <w:ind w:firstLine="455"/>
        <w:jc w:val="both"/>
      </w:pPr>
      <w:r>
        <w:rPr>
          <w:sz w:val="21"/>
        </w:rPr>
        <w:t>5</w:t>
      </w:r>
      <w:r>
        <w:rPr>
          <w:sz w:val="21"/>
        </w:rPr>
        <w:t>、安装要求：按现行规范施工并验收。</w:t>
      </w:r>
    </w:p>
    <w:p>
      <w:pPr>
        <w:jc w:val="both"/>
      </w:pPr>
      <w:r>
        <w:rPr>
          <w:b/>
          <w:sz w:val="21"/>
        </w:rPr>
        <w:t>第二条</w:t>
      </w:r>
      <w:r>
        <w:rPr>
          <w:b/>
          <w:sz w:val="21"/>
        </w:rPr>
        <w:t>合同价款</w:t>
      </w:r>
    </w:p>
    <w:p>
      <w:pPr>
        <w:ind w:firstLine="455"/>
        <w:jc w:val="both"/>
      </w:pPr>
      <w:r>
        <w:rPr>
          <w:sz w:val="21"/>
        </w:rPr>
        <w:t>1</w:t>
      </w:r>
      <w:r>
        <w:rPr>
          <w:sz w:val="21"/>
        </w:rPr>
        <w:t>、参考合同价款（人民币）大写：</w:t>
      </w:r>
      <w:r>
        <w:rPr>
          <w:sz w:val="21"/>
          <w:u w:val="single"/>
        </w:rPr>
        <w:t xml:space="preserve">              </w:t>
      </w:r>
      <w:r>
        <w:rPr>
          <w:sz w:val="21"/>
        </w:rPr>
        <w:t>小写：</w:t>
      </w:r>
      <w:r>
        <w:rPr>
          <w:sz w:val="21"/>
          <w:u w:val="single"/>
        </w:rPr>
        <w:t xml:space="preserve">          </w:t>
      </w:r>
      <w:r>
        <w:rPr>
          <w:sz w:val="21"/>
        </w:rPr>
        <w:t>。</w:t>
      </w:r>
    </w:p>
    <w:p>
      <w:pPr>
        <w:ind w:firstLine="455"/>
        <w:jc w:val="both"/>
      </w:pPr>
      <w:r>
        <w:rPr>
          <w:sz w:val="21"/>
        </w:rPr>
        <w:t>2</w:t>
      </w:r>
      <w:r>
        <w:rPr>
          <w:sz w:val="21"/>
        </w:rPr>
        <w:t>、工程价款的结算须以甲方审定为准。</w:t>
      </w:r>
    </w:p>
    <w:p>
      <w:pPr>
        <w:jc w:val="both"/>
      </w:pPr>
      <w:r>
        <w:rPr>
          <w:b/>
          <w:sz w:val="21"/>
        </w:rPr>
        <w:t>第三条</w:t>
      </w:r>
      <w:r>
        <w:rPr>
          <w:b/>
          <w:sz w:val="21"/>
        </w:rPr>
        <w:t>工期</w:t>
      </w:r>
    </w:p>
    <w:p>
      <w:pPr>
        <w:ind w:firstLine="455"/>
        <w:jc w:val="both"/>
      </w:pPr>
      <w:r>
        <w:rPr>
          <w:sz w:val="21"/>
        </w:rPr>
        <w:t>1</w:t>
      </w:r>
      <w:r>
        <w:rPr>
          <w:sz w:val="21"/>
        </w:rPr>
        <w:t>、工期为</w:t>
      </w:r>
      <w:r>
        <w:rPr>
          <w:sz w:val="21"/>
          <w:u w:val="single"/>
        </w:rPr>
        <w:t xml:space="preserve">      </w:t>
      </w:r>
      <w:r>
        <w:rPr>
          <w:sz w:val="21"/>
        </w:rPr>
        <w:t>个日历天，</w:t>
      </w:r>
      <w:r>
        <w:rPr>
          <w:sz w:val="21"/>
        </w:rPr>
        <w:t>包含设计和施工，其中设计工期</w:t>
      </w:r>
      <w:r>
        <w:rPr>
          <w:sz w:val="21"/>
          <w:u w:val="single"/>
        </w:rPr>
        <w:t xml:space="preserve">    </w:t>
      </w:r>
      <w:r>
        <w:rPr>
          <w:sz w:val="21"/>
        </w:rPr>
        <w:t>天，施工工期</w:t>
      </w:r>
      <w:r>
        <w:rPr>
          <w:sz w:val="21"/>
          <w:u w:val="single"/>
        </w:rPr>
        <w:t xml:space="preserve">    </w:t>
      </w:r>
      <w:r>
        <w:rPr>
          <w:sz w:val="21"/>
        </w:rPr>
        <w:t>天，工期以接到甲方通知之日起开始计算</w:t>
      </w:r>
      <w:r>
        <w:rPr>
          <w:sz w:val="21"/>
        </w:rPr>
        <w:t>。实际开工日期：</w:t>
      </w:r>
      <w:r>
        <w:rPr>
          <w:sz w:val="21"/>
          <w:u w:val="single"/>
        </w:rPr>
        <w:t>工期自甲方发出的开工令之日起计算。</w:t>
      </w:r>
    </w:p>
    <w:p>
      <w:pPr>
        <w:jc w:val="both"/>
      </w:pPr>
      <w:r>
        <w:rPr>
          <w:b/>
          <w:sz w:val="21"/>
        </w:rPr>
        <w:t>第四条</w:t>
      </w:r>
      <w:r>
        <w:rPr>
          <w:b/>
          <w:sz w:val="21"/>
        </w:rPr>
        <w:t>项目范围</w:t>
      </w:r>
    </w:p>
    <w:p>
      <w:pPr>
        <w:ind w:firstLine="420"/>
        <w:jc w:val="left"/>
      </w:pPr>
      <w:r>
        <w:rPr>
          <w:sz w:val="21"/>
        </w:rPr>
        <w:t>1、勘察设计：</w:t>
      </w:r>
    </w:p>
    <w:p>
      <w:pPr>
        <w:ind w:firstLine="420"/>
        <w:jc w:val="left"/>
      </w:pPr>
      <w:r>
        <w:rPr>
          <w:sz w:val="21"/>
        </w:rPr>
        <w:t>1.1寻找新电源接入点和电缆敷设途径，并对其施工环境等进行实地勘察及可行性调研。</w:t>
      </w:r>
    </w:p>
    <w:p>
      <w:pPr>
        <w:ind w:firstLine="420"/>
        <w:jc w:val="left"/>
      </w:pPr>
      <w:r>
        <w:rPr>
          <w:sz w:val="21"/>
        </w:rPr>
        <w:t>1.2负责与越秀区供电局相关部门进行充分沟通，以新电源接入点为中心进行施工设计图，施工图要通过供电相关部门的认可和审核。</w:t>
      </w:r>
    </w:p>
    <w:p>
      <w:pPr>
        <w:ind w:firstLine="420"/>
        <w:jc w:val="left"/>
      </w:pPr>
      <w:r>
        <w:rPr>
          <w:sz w:val="21"/>
        </w:rPr>
        <w:t>1.3编制预算书。</w:t>
      </w:r>
    </w:p>
    <w:p>
      <w:pPr>
        <w:ind w:firstLine="420"/>
        <w:jc w:val="left"/>
      </w:pPr>
      <w:r>
        <w:rPr>
          <w:sz w:val="21"/>
        </w:rPr>
        <w:t>1.4绘制竣工图。</w:t>
      </w:r>
    </w:p>
    <w:p>
      <w:pPr>
        <w:ind w:firstLine="420"/>
        <w:jc w:val="left"/>
      </w:pPr>
      <w:r>
        <w:rPr>
          <w:sz w:val="21"/>
        </w:rPr>
        <w:t>2、电缆沟工程：</w:t>
      </w:r>
    </w:p>
    <w:p>
      <w:pPr>
        <w:ind w:firstLine="420"/>
        <w:jc w:val="left"/>
      </w:pPr>
      <w:r>
        <w:rPr>
          <w:sz w:val="21"/>
        </w:rPr>
        <w:t>2.1路面开挖。</w:t>
      </w:r>
    </w:p>
    <w:p>
      <w:pPr>
        <w:ind w:firstLine="420"/>
        <w:jc w:val="left"/>
      </w:pPr>
      <w:r>
        <w:rPr>
          <w:sz w:val="21"/>
        </w:rPr>
        <w:t>2.2埋管、电缆沟、管井、回填土等施工。</w:t>
      </w:r>
    </w:p>
    <w:p>
      <w:pPr>
        <w:ind w:firstLine="420"/>
        <w:jc w:val="left"/>
      </w:pPr>
      <w:r>
        <w:rPr>
          <w:sz w:val="21"/>
        </w:rPr>
        <w:t>2.3施工过程破坏的路面及市政设施恢复至原貌。</w:t>
      </w:r>
    </w:p>
    <w:p>
      <w:pPr>
        <w:ind w:firstLine="420"/>
        <w:jc w:val="left"/>
      </w:pPr>
      <w:r>
        <w:rPr>
          <w:sz w:val="21"/>
        </w:rPr>
        <w:t>2.4清运余泥。</w:t>
      </w:r>
    </w:p>
    <w:p>
      <w:pPr>
        <w:ind w:firstLine="420"/>
        <w:jc w:val="left"/>
      </w:pPr>
      <w:r>
        <w:rPr>
          <w:sz w:val="21"/>
        </w:rPr>
        <w:t>3、电缆敷设安装工程：</w:t>
      </w:r>
    </w:p>
    <w:p>
      <w:pPr>
        <w:ind w:firstLine="420"/>
        <w:jc w:val="left"/>
      </w:pPr>
      <w:r>
        <w:rPr>
          <w:sz w:val="21"/>
        </w:rPr>
        <w:t>3.1电缆敷设。</w:t>
      </w:r>
    </w:p>
    <w:p>
      <w:pPr>
        <w:ind w:firstLine="420"/>
        <w:jc w:val="left"/>
      </w:pPr>
      <w:r>
        <w:rPr>
          <w:sz w:val="21"/>
        </w:rPr>
        <w:t>3.2电缆头安装。</w:t>
      </w:r>
    </w:p>
    <w:p>
      <w:pPr>
        <w:ind w:firstLine="420"/>
        <w:jc w:val="left"/>
      </w:pPr>
      <w:r>
        <w:rPr>
          <w:sz w:val="21"/>
        </w:rPr>
        <w:t>3.3互感器安装。</w:t>
      </w:r>
    </w:p>
    <w:p>
      <w:pPr>
        <w:ind w:firstLine="420"/>
        <w:jc w:val="left"/>
      </w:pPr>
      <w:r>
        <w:rPr>
          <w:sz w:val="21"/>
        </w:rPr>
        <w:t>4、电缆试验、调试：</w:t>
      </w:r>
    </w:p>
    <w:p>
      <w:pPr>
        <w:ind w:firstLine="420"/>
        <w:jc w:val="left"/>
      </w:pPr>
      <w:r>
        <w:rPr>
          <w:sz w:val="21"/>
        </w:rPr>
        <w:t>4.1 10KV电缆绝缘试验。</w:t>
      </w:r>
    </w:p>
    <w:p>
      <w:pPr>
        <w:ind w:firstLine="420"/>
        <w:jc w:val="left"/>
      </w:pPr>
      <w:r>
        <w:rPr>
          <w:sz w:val="21"/>
        </w:rPr>
        <w:t>4.2 10KV电缆交流耐压试验。</w:t>
      </w:r>
    </w:p>
    <w:p>
      <w:pPr>
        <w:ind w:firstLine="420"/>
        <w:jc w:val="left"/>
      </w:pPr>
      <w:r>
        <w:rPr>
          <w:sz w:val="21"/>
        </w:rPr>
        <w:t>4.3 10KV电缆振动波试验。</w:t>
      </w:r>
    </w:p>
    <w:p>
      <w:pPr>
        <w:ind w:firstLine="420"/>
        <w:jc w:val="left"/>
      </w:pPr>
      <w:r>
        <w:rPr>
          <w:sz w:val="21"/>
        </w:rPr>
        <w:t>4.4 10KV电缆鉴别。</w:t>
      </w:r>
    </w:p>
    <w:p>
      <w:pPr>
        <w:ind w:firstLine="420"/>
        <w:jc w:val="left"/>
      </w:pPr>
      <w:r>
        <w:rPr>
          <w:sz w:val="21"/>
        </w:rPr>
        <w:t>4.5 供电局要求的其他试验。</w:t>
      </w:r>
    </w:p>
    <w:p>
      <w:pPr>
        <w:jc w:val="both"/>
      </w:pPr>
      <w:r>
        <w:rPr>
          <w:b/>
          <w:sz w:val="21"/>
        </w:rPr>
        <w:t>第五条</w:t>
      </w:r>
      <w:r>
        <w:rPr>
          <w:b/>
          <w:sz w:val="21"/>
        </w:rPr>
        <w:t>项目组织要求</w:t>
      </w:r>
    </w:p>
    <w:p>
      <w:pPr>
        <w:ind w:firstLine="420"/>
        <w:jc w:val="both"/>
      </w:pPr>
      <w:r>
        <w:rPr>
          <w:sz w:val="21"/>
        </w:rPr>
        <w:t>1</w:t>
      </w:r>
      <w:r>
        <w:rPr>
          <w:sz w:val="21"/>
        </w:rPr>
        <w:t>、乙方需为该项目成立专业的施工团队（列出项目人员架构表），拟派的施工人员管理架构设置需满足工程施工需要。</w:t>
      </w:r>
    </w:p>
    <w:p>
      <w:pPr>
        <w:ind w:firstLine="420"/>
        <w:jc w:val="both"/>
      </w:pPr>
      <w:r>
        <w:rPr>
          <w:sz w:val="21"/>
        </w:rPr>
        <w:t>2</w:t>
      </w:r>
      <w:r>
        <w:rPr>
          <w:b/>
          <w:sz w:val="21"/>
        </w:rPr>
        <w:t>、</w:t>
      </w:r>
      <w:r>
        <w:rPr>
          <w:sz w:val="21"/>
        </w:rPr>
        <w:t>乙方必须要根据该项目工程的特点制定施工方案、工作计划表及解决项目重点、难点的措施。</w:t>
      </w:r>
    </w:p>
    <w:p>
      <w:pPr>
        <w:ind w:firstLine="420"/>
        <w:jc w:val="both"/>
      </w:pPr>
      <w:r>
        <w:rPr>
          <w:sz w:val="21"/>
        </w:rPr>
        <w:t>3</w:t>
      </w:r>
      <w:r>
        <w:rPr>
          <w:sz w:val="21"/>
        </w:rPr>
        <w:t>、乙方需与甲方进行深入交流和充分沟通，并踏勘现场，详细列出施工项目需要甲方提供资料和文件的清单。</w:t>
      </w:r>
    </w:p>
    <w:p>
      <w:pPr>
        <w:ind w:firstLine="420"/>
        <w:jc w:val="both"/>
      </w:pPr>
      <w:r>
        <w:rPr>
          <w:sz w:val="21"/>
        </w:rPr>
        <w:t>4</w:t>
      </w:r>
      <w:r>
        <w:rPr>
          <w:sz w:val="21"/>
        </w:rPr>
        <w:t>、乙方需有本工程施工成果控制措施，如要有组织保证措施、进度保证措施和质量保证措施。</w:t>
      </w:r>
    </w:p>
    <w:p>
      <w:pPr>
        <w:ind w:firstLine="420"/>
        <w:jc w:val="both"/>
      </w:pPr>
      <w:r>
        <w:rPr>
          <w:sz w:val="21"/>
        </w:rPr>
        <w:t>5</w:t>
      </w:r>
      <w:r>
        <w:rPr>
          <w:sz w:val="21"/>
        </w:rPr>
        <w:t>、乙方成交后不得随意更换响应文件中所报的项目负责人、现场负责人等，如确须更换，则事前须征得甲方书面同意，如有违反，一经发现取消成交资格，并赔偿由此造成的一切损失</w:t>
      </w:r>
      <w:r>
        <w:rPr>
          <w:sz w:val="21"/>
        </w:rPr>
        <w:t>(</w:t>
      </w:r>
      <w:r>
        <w:rPr>
          <w:sz w:val="21"/>
        </w:rPr>
        <w:t>包含质量安全事故、拖延工期、增加投资等损失</w:t>
      </w:r>
      <w:r>
        <w:rPr>
          <w:sz w:val="21"/>
        </w:rPr>
        <w:t>)</w:t>
      </w:r>
      <w:r>
        <w:rPr>
          <w:sz w:val="21"/>
        </w:rPr>
        <w:t>。在施工过程中，造成损失的，按实际发生额赔偿。</w:t>
      </w:r>
    </w:p>
    <w:p>
      <w:pPr>
        <w:jc w:val="both"/>
      </w:pPr>
      <w:r>
        <w:rPr>
          <w:b/>
          <w:sz w:val="21"/>
        </w:rPr>
        <w:t>第六条</w:t>
      </w:r>
      <w:r>
        <w:rPr>
          <w:b/>
          <w:sz w:val="21"/>
        </w:rPr>
        <w:t>工程技术规范和标准要求</w:t>
      </w:r>
    </w:p>
    <w:p>
      <w:pPr>
        <w:ind w:firstLine="420"/>
        <w:jc w:val="both"/>
      </w:pPr>
      <w:r>
        <w:rPr>
          <w:sz w:val="21"/>
        </w:rPr>
        <w:t>具体按施工图纸、中华人民共和国现行技术和验收规范、图纸中规定的其它技术和验收标准、遵照甲方相关规定要求为准。</w:t>
      </w:r>
    </w:p>
    <w:p>
      <w:pPr>
        <w:jc w:val="both"/>
      </w:pPr>
      <w:r>
        <w:rPr>
          <w:b/>
          <w:sz w:val="21"/>
        </w:rPr>
        <w:t>第七条</w:t>
      </w:r>
      <w:r>
        <w:rPr>
          <w:b/>
          <w:sz w:val="21"/>
        </w:rPr>
        <w:t>质量质量标准</w:t>
      </w:r>
      <w:r>
        <w:rPr>
          <w:b/>
          <w:sz w:val="21"/>
        </w:rPr>
        <w:t>及验收方式</w:t>
      </w:r>
    </w:p>
    <w:p>
      <w:pPr>
        <w:ind w:firstLine="420"/>
        <w:jc w:val="both"/>
      </w:pPr>
      <w:r>
        <w:rPr>
          <w:sz w:val="21"/>
        </w:rPr>
        <w:t>1</w:t>
      </w:r>
      <w:r>
        <w:rPr>
          <w:sz w:val="21"/>
        </w:rPr>
        <w:t>、工程质量标准</w:t>
      </w:r>
    </w:p>
    <w:p>
      <w:pPr>
        <w:ind w:firstLine="420"/>
        <w:jc w:val="both"/>
      </w:pPr>
      <w:r>
        <w:rPr>
          <w:sz w:val="21"/>
        </w:rPr>
        <w:t>1.1</w:t>
      </w:r>
      <w:r>
        <w:rPr>
          <w:sz w:val="21"/>
        </w:rPr>
        <w:t>工程质量标准：严格按甲方提供的资料进行施工，按照《工程量清单》文件和有关技术标准、规范和合同规定施工，必须符合国家和行业现行《工程施工质量验收规范》，达到合格工程质量标准。</w:t>
      </w:r>
    </w:p>
    <w:p>
      <w:pPr>
        <w:ind w:firstLine="420"/>
        <w:jc w:val="both"/>
      </w:pPr>
      <w:r>
        <w:rPr>
          <w:sz w:val="21"/>
        </w:rPr>
        <w:t>1.2</w:t>
      </w:r>
      <w:r>
        <w:rPr>
          <w:sz w:val="21"/>
        </w:rPr>
        <w:t>本工程以施工工程量清单和施工说明、工程量清单变更、国家制订的施工和验收标准及有关规范为质量评定验收标准。</w:t>
      </w:r>
    </w:p>
    <w:p>
      <w:pPr>
        <w:ind w:firstLine="420"/>
        <w:jc w:val="both"/>
      </w:pPr>
      <w:r>
        <w:rPr>
          <w:sz w:val="21"/>
        </w:rPr>
        <w:t>1.3</w:t>
      </w:r>
      <w:r>
        <w:rPr>
          <w:sz w:val="21"/>
        </w:rPr>
        <w:t>工程技术要求：按相关国家、省、市和行业的法律法规、技术规范进行施工和验收。</w:t>
      </w:r>
    </w:p>
    <w:p>
      <w:pPr>
        <w:ind w:firstLine="420"/>
        <w:jc w:val="both"/>
      </w:pPr>
      <w:r>
        <w:rPr>
          <w:sz w:val="21"/>
        </w:rPr>
        <w:t>1.4</w:t>
      </w:r>
      <w:r>
        <w:rPr>
          <w:sz w:val="21"/>
        </w:rPr>
        <w:t>工程质量要求：确保达到合格工程。乙方在施工中如果存在工程质量不符合国家相关规范和招标文件的有关规定的情况，甲方要求停工或返工时，乙方须无条件立即执行，并承担由此产生的各种费用，工期不予顺延。</w:t>
      </w:r>
    </w:p>
    <w:p>
      <w:pPr>
        <w:ind w:firstLine="420"/>
        <w:jc w:val="both"/>
      </w:pPr>
      <w:r>
        <w:rPr>
          <w:sz w:val="21"/>
        </w:rPr>
        <w:t>1.5</w:t>
      </w:r>
      <w:r>
        <w:rPr>
          <w:sz w:val="21"/>
        </w:rPr>
        <w:t>乙方成交后在施工前要向甲方申报施工方案，经审批后严格执行，每道工序需符合相应的规范要求并申报，经甲方驻现场人员签字确认后才进入下道工序。</w:t>
      </w:r>
    </w:p>
    <w:p>
      <w:pPr>
        <w:ind w:firstLine="420"/>
        <w:jc w:val="both"/>
      </w:pPr>
      <w:r>
        <w:rPr>
          <w:sz w:val="21"/>
        </w:rPr>
        <w:t>2</w:t>
      </w:r>
      <w:r>
        <w:rPr>
          <w:sz w:val="21"/>
        </w:rPr>
        <w:t>、质量验收方式</w:t>
      </w:r>
    </w:p>
    <w:p>
      <w:pPr>
        <w:ind w:firstLine="420"/>
        <w:jc w:val="both"/>
      </w:pPr>
      <w:r>
        <w:rPr>
          <w:sz w:val="21"/>
        </w:rPr>
        <w:t>2.1</w:t>
      </w:r>
      <w:r>
        <w:rPr>
          <w:sz w:val="21"/>
        </w:rPr>
        <w:t>工程项目的隐蔽工程和竣工验收由乙方、甲方、工程监理方共同进行；</w:t>
      </w:r>
    </w:p>
    <w:p>
      <w:pPr>
        <w:ind w:firstLine="420"/>
        <w:jc w:val="both"/>
      </w:pPr>
      <w:r>
        <w:rPr>
          <w:sz w:val="21"/>
        </w:rPr>
        <w:t>2.2</w:t>
      </w:r>
      <w:r>
        <w:rPr>
          <w:sz w:val="21"/>
        </w:rPr>
        <w:t>工程竣工后乙方负责编制施工（竣工）工程量清单及相关资料文件</w:t>
      </w:r>
      <w:r>
        <w:rPr>
          <w:sz w:val="21"/>
        </w:rPr>
        <w:t>(</w:t>
      </w:r>
      <w:r>
        <w:rPr>
          <w:sz w:val="21"/>
        </w:rPr>
        <w:t>此项费用不再向甲方收取，固定总价已包含在内</w:t>
      </w:r>
      <w:r>
        <w:rPr>
          <w:sz w:val="21"/>
        </w:rPr>
        <w:t>)</w:t>
      </w:r>
      <w:r>
        <w:rPr>
          <w:sz w:val="21"/>
        </w:rPr>
        <w:t>，甲方负责审核；</w:t>
      </w:r>
    </w:p>
    <w:p>
      <w:pPr>
        <w:ind w:firstLine="420"/>
        <w:jc w:val="both"/>
      </w:pPr>
      <w:r>
        <w:rPr>
          <w:sz w:val="21"/>
        </w:rPr>
        <w:t>2.3</w:t>
      </w:r>
      <w:r>
        <w:rPr>
          <w:sz w:val="21"/>
        </w:rPr>
        <w:t>验收合格后两方</w:t>
      </w:r>
      <w:r>
        <w:rPr>
          <w:sz w:val="21"/>
        </w:rPr>
        <w:t>（甲方、乙方）</w:t>
      </w:r>
      <w:r>
        <w:rPr>
          <w:sz w:val="21"/>
        </w:rPr>
        <w:t>签署验收合格证书，工程才能交付给甲方使用后，方可办理工程竣工结算及工程款清算工作。</w:t>
      </w:r>
    </w:p>
    <w:p>
      <w:pPr>
        <w:jc w:val="both"/>
      </w:pPr>
      <w:r>
        <w:rPr>
          <w:b/>
          <w:sz w:val="21"/>
        </w:rPr>
        <w:t>第八条</w:t>
      </w:r>
      <w:r>
        <w:rPr>
          <w:b/>
          <w:sz w:val="21"/>
        </w:rPr>
        <w:t>资料与归档</w:t>
      </w:r>
    </w:p>
    <w:p>
      <w:pPr>
        <w:ind w:firstLine="420"/>
        <w:jc w:val="both"/>
      </w:pPr>
      <w:r>
        <w:rPr>
          <w:sz w:val="21"/>
        </w:rPr>
        <w:t>1</w:t>
      </w:r>
      <w:r>
        <w:rPr>
          <w:sz w:val="21"/>
        </w:rPr>
        <w:t>、</w:t>
      </w:r>
      <w:r>
        <w:rPr>
          <w:sz w:val="21"/>
        </w:rPr>
        <w:t>乙方</w:t>
      </w:r>
      <w:r>
        <w:rPr>
          <w:sz w:val="21"/>
        </w:rPr>
        <w:t>需对施工项目所需的资料和文件进行收集和整理。并加以分析调研选用。</w:t>
      </w:r>
    </w:p>
    <w:p>
      <w:pPr>
        <w:ind w:firstLine="420"/>
        <w:jc w:val="both"/>
      </w:pPr>
      <w:r>
        <w:rPr>
          <w:sz w:val="21"/>
        </w:rPr>
        <w:t>2</w:t>
      </w:r>
      <w:r>
        <w:rPr>
          <w:sz w:val="21"/>
        </w:rPr>
        <w:t>、</w:t>
      </w:r>
      <w:r>
        <w:rPr>
          <w:sz w:val="21"/>
        </w:rPr>
        <w:t>本项目验收后</w:t>
      </w:r>
      <w:r>
        <w:rPr>
          <w:sz w:val="21"/>
        </w:rPr>
        <w:t>30个工作天内向采取人提供完整的竣工验收资料、竣工图纸及竣工图电子文件光盘，竣工验收资料须按工程档案管理的有关要求编制成册。在完成上述工作后10天内提供工程结算书及相关资料统一送甲方审核，确认后办理结算手续</w:t>
      </w:r>
      <w:r>
        <w:rPr>
          <w:sz w:val="21"/>
        </w:rPr>
        <w:t>。</w:t>
      </w:r>
    </w:p>
    <w:p>
      <w:pPr>
        <w:ind w:firstLine="420"/>
        <w:jc w:val="both"/>
      </w:pPr>
      <w:r>
        <w:rPr>
          <w:sz w:val="21"/>
        </w:rPr>
        <w:t>3</w:t>
      </w:r>
      <w:r>
        <w:rPr>
          <w:sz w:val="21"/>
        </w:rPr>
        <w:t>、乙方向甲方提交竣工验收报告时，应当向甲方出具质量保修书；质量保修书应明确甲方工程的保修范围、保修期限和保修责任等。</w:t>
      </w:r>
    </w:p>
    <w:p>
      <w:pPr>
        <w:jc w:val="both"/>
      </w:pPr>
      <w:r>
        <w:rPr>
          <w:b/>
          <w:sz w:val="21"/>
        </w:rPr>
        <w:t>第九条</w:t>
      </w:r>
      <w:r>
        <w:rPr>
          <w:b/>
          <w:sz w:val="21"/>
        </w:rPr>
        <w:t>项目工期及延期条件及要求</w:t>
      </w:r>
    </w:p>
    <w:p>
      <w:pPr>
        <w:ind w:firstLine="420"/>
        <w:jc w:val="both"/>
      </w:pPr>
      <w:r>
        <w:rPr>
          <w:sz w:val="21"/>
        </w:rPr>
        <w:t>1</w:t>
      </w:r>
      <w:r>
        <w:rPr>
          <w:sz w:val="21"/>
        </w:rPr>
        <w:t>、项目工期为</w:t>
      </w:r>
      <w:r>
        <w:rPr>
          <w:sz w:val="21"/>
          <w:u w:val="single"/>
        </w:rPr>
        <w:t xml:space="preserve">     </w:t>
      </w:r>
      <w:r>
        <w:rPr>
          <w:sz w:val="21"/>
        </w:rPr>
        <w:t>个日历日，工期由甲方（或监理单位）发出的开工令之日起计算，至验收合格之日止。</w:t>
      </w:r>
    </w:p>
    <w:p>
      <w:pPr>
        <w:ind w:firstLine="420"/>
        <w:jc w:val="both"/>
      </w:pPr>
      <w:r>
        <w:rPr>
          <w:sz w:val="21"/>
        </w:rPr>
        <w:t>2</w:t>
      </w:r>
      <w:r>
        <w:rPr>
          <w:sz w:val="21"/>
        </w:rPr>
        <w:t>、甲方末能在规定时间内办理的相关手续，经得甲方</w:t>
      </w:r>
      <w:r>
        <w:rPr>
          <w:sz w:val="21"/>
        </w:rPr>
        <w:t>书面</w:t>
      </w:r>
      <w:r>
        <w:rPr>
          <w:sz w:val="21"/>
        </w:rPr>
        <w:t>同意后，工期可相应延后。</w:t>
      </w:r>
    </w:p>
    <w:p>
      <w:pPr>
        <w:ind w:firstLine="420"/>
        <w:jc w:val="both"/>
      </w:pPr>
      <w:r>
        <w:rPr>
          <w:sz w:val="21"/>
        </w:rPr>
        <w:t>3</w:t>
      </w:r>
      <w:r>
        <w:rPr>
          <w:sz w:val="21"/>
        </w:rPr>
        <w:t>、项目实施过程中，出现下列情形，经甲方确认，工期可以顺延：</w:t>
      </w:r>
    </w:p>
    <w:p>
      <w:pPr>
        <w:ind w:firstLine="420"/>
        <w:jc w:val="both"/>
      </w:pPr>
      <w:r>
        <w:rPr>
          <w:sz w:val="21"/>
        </w:rPr>
        <w:t>3.1</w:t>
      </w:r>
      <w:r>
        <w:rPr>
          <w:sz w:val="21"/>
        </w:rPr>
        <w:t>不可抗</w:t>
      </w:r>
      <w:r>
        <w:rPr>
          <w:sz w:val="21"/>
        </w:rPr>
        <w:t>力</w:t>
      </w:r>
      <w:r>
        <w:rPr>
          <w:sz w:val="21"/>
        </w:rPr>
        <w:t>因素；</w:t>
      </w:r>
    </w:p>
    <w:p>
      <w:pPr>
        <w:ind w:firstLine="420"/>
        <w:jc w:val="both"/>
      </w:pPr>
      <w:r>
        <w:rPr>
          <w:sz w:val="21"/>
        </w:rPr>
        <w:t>3.2</w:t>
      </w:r>
      <w:r>
        <w:rPr>
          <w:sz w:val="21"/>
        </w:rPr>
        <w:t>由于工程变更，致使工程量重大增加者</w:t>
      </w:r>
      <w:r>
        <w:rPr>
          <w:sz w:val="21"/>
        </w:rPr>
        <w:t>(</w:t>
      </w:r>
      <w:r>
        <w:rPr>
          <w:sz w:val="21"/>
        </w:rPr>
        <w:t>超过总量的</w:t>
      </w:r>
      <w:r>
        <w:rPr>
          <w:sz w:val="21"/>
        </w:rPr>
        <w:t>10%)</w:t>
      </w:r>
      <w:r>
        <w:rPr>
          <w:sz w:val="21"/>
        </w:rPr>
        <w:t>；</w:t>
      </w:r>
    </w:p>
    <w:p>
      <w:pPr>
        <w:ind w:firstLine="420"/>
        <w:jc w:val="both"/>
      </w:pPr>
      <w:r>
        <w:rPr>
          <w:sz w:val="21"/>
        </w:rPr>
        <w:t>3.3</w:t>
      </w:r>
      <w:r>
        <w:rPr>
          <w:sz w:val="21"/>
        </w:rPr>
        <w:t>工程款不能按时或逾期支付者。</w:t>
      </w:r>
    </w:p>
    <w:p>
      <w:pPr>
        <w:ind w:firstLine="420"/>
        <w:jc w:val="both"/>
      </w:pPr>
      <w:r>
        <w:rPr>
          <w:sz w:val="21"/>
        </w:rPr>
        <w:t>4</w:t>
      </w:r>
      <w:r>
        <w:rPr>
          <w:sz w:val="21"/>
        </w:rPr>
        <w:t>、乙方</w:t>
      </w:r>
      <w:r>
        <w:rPr>
          <w:sz w:val="21"/>
        </w:rPr>
        <w:t>可</w:t>
      </w:r>
      <w:r>
        <w:rPr>
          <w:sz w:val="21"/>
        </w:rPr>
        <w:t>根据各企业实际情况提出缩短工期的响应文件。响应因赶工而需要增加的费用应体现在响应</w:t>
      </w:r>
      <w:r>
        <w:rPr>
          <w:sz w:val="21"/>
        </w:rPr>
        <w:t>报</w:t>
      </w:r>
      <w:r>
        <w:rPr>
          <w:sz w:val="21"/>
        </w:rPr>
        <w:t>价中。</w:t>
      </w:r>
    </w:p>
    <w:p>
      <w:pPr>
        <w:jc w:val="both"/>
      </w:pPr>
      <w:r>
        <w:rPr>
          <w:b/>
          <w:sz w:val="21"/>
        </w:rPr>
        <w:t>第十条</w:t>
      </w:r>
      <w:r>
        <w:rPr>
          <w:b/>
          <w:sz w:val="21"/>
        </w:rPr>
        <w:t>合同调整方式</w:t>
      </w:r>
    </w:p>
    <w:p>
      <w:pPr>
        <w:ind w:firstLine="420"/>
        <w:jc w:val="both"/>
      </w:pPr>
      <w:r>
        <w:rPr>
          <w:sz w:val="21"/>
        </w:rPr>
        <w:t>1</w:t>
      </w:r>
      <w:r>
        <w:rPr>
          <w:sz w:val="21"/>
        </w:rPr>
        <w:t>、合同调整方式：合同总价与工程最终结算金额可按以下约定执行：</w:t>
      </w:r>
    </w:p>
    <w:p>
      <w:pPr>
        <w:ind w:firstLine="420"/>
        <w:jc w:val="both"/>
      </w:pPr>
      <w:r>
        <w:rPr>
          <w:sz w:val="21"/>
        </w:rPr>
        <w:t>1</w:t>
      </w:r>
      <w:r>
        <w:rPr>
          <w:sz w:val="21"/>
        </w:rPr>
        <w:t>.1</w:t>
      </w:r>
      <w:r>
        <w:rPr>
          <w:sz w:val="21"/>
        </w:rPr>
        <w:t>成交价除甲方要求的工程量清单变更和</w:t>
      </w:r>
      <w:r>
        <w:rPr>
          <w:sz w:val="21"/>
        </w:rPr>
        <w:t>响应</w:t>
      </w:r>
      <w:r>
        <w:rPr>
          <w:sz w:val="21"/>
        </w:rPr>
        <w:t>文件、</w:t>
      </w:r>
      <w:r>
        <w:rPr>
          <w:sz w:val="21"/>
        </w:rPr>
        <w:t>响应</w:t>
      </w:r>
      <w:r>
        <w:rPr>
          <w:sz w:val="21"/>
        </w:rPr>
        <w:t>答疑允许的调整范围外，其余不得以市场价格变化、人员工资福利调整以及其他政策性文件的下达等原因而调整。</w:t>
      </w:r>
    </w:p>
    <w:p>
      <w:pPr>
        <w:ind w:firstLine="420"/>
        <w:jc w:val="both"/>
      </w:pPr>
      <w:r>
        <w:rPr>
          <w:sz w:val="21"/>
        </w:rPr>
        <w:t>1</w:t>
      </w:r>
      <w:r>
        <w:rPr>
          <w:sz w:val="21"/>
        </w:rPr>
        <w:t>.2</w:t>
      </w:r>
      <w:r>
        <w:rPr>
          <w:sz w:val="21"/>
        </w:rPr>
        <w:t>由于乙方原因，导致对工程项目的修改、变更，由乙方负全责和相关费用；由于非乙方原因，由甲方造成的工程项目修改、变更，按以下方式结算：</w:t>
      </w:r>
    </w:p>
    <w:p>
      <w:pPr>
        <w:ind w:firstLine="420"/>
        <w:jc w:val="both"/>
      </w:pPr>
      <w:r>
        <w:rPr>
          <w:sz w:val="21"/>
        </w:rPr>
        <w:t>1</w:t>
      </w:r>
      <w:r>
        <w:rPr>
          <w:sz w:val="21"/>
        </w:rPr>
        <w:t>.2.1</w:t>
      </w:r>
      <w:r>
        <w:rPr>
          <w:sz w:val="21"/>
        </w:rPr>
        <w:t>合同中已有使用于变更工程的单价，按合同已有的单价变更合同价款。</w:t>
      </w:r>
    </w:p>
    <w:p>
      <w:pPr>
        <w:ind w:firstLine="420"/>
        <w:jc w:val="both"/>
      </w:pPr>
      <w:r>
        <w:rPr>
          <w:sz w:val="21"/>
        </w:rPr>
        <w:t>1</w:t>
      </w:r>
      <w:r>
        <w:rPr>
          <w:sz w:val="21"/>
        </w:rPr>
        <w:t>.2.2</w:t>
      </w:r>
      <w:r>
        <w:rPr>
          <w:sz w:val="21"/>
        </w:rPr>
        <w:t>合同中已有类似于变更工程的单价，可参照类似单价变更合同价款。</w:t>
      </w:r>
    </w:p>
    <w:p>
      <w:pPr>
        <w:ind w:firstLine="420"/>
        <w:jc w:val="both"/>
      </w:pPr>
      <w:r>
        <w:rPr>
          <w:sz w:val="21"/>
        </w:rPr>
        <w:t>1</w:t>
      </w:r>
      <w:r>
        <w:rPr>
          <w:sz w:val="21"/>
        </w:rPr>
        <w:t>.2.3</w:t>
      </w:r>
      <w:r>
        <w:rPr>
          <w:sz w:val="21"/>
        </w:rPr>
        <w:t>合同中没有使用或类似变更工程的单价，按照广东省建设工程计价依据、工程所在地造价管理机构有关规定和发布的价格信息，依据工程变更签证，由乙方提出适当的变更价格，按本</w:t>
      </w:r>
      <w:r>
        <w:rPr>
          <w:sz w:val="21"/>
        </w:rPr>
        <w:t>磋商文件中的报价要求</w:t>
      </w:r>
      <w:r>
        <w:rPr>
          <w:sz w:val="21"/>
        </w:rPr>
        <w:t>规定编制预算经甲方审计部门审核后结算。</w:t>
      </w:r>
    </w:p>
    <w:p>
      <w:pPr>
        <w:ind w:firstLine="420"/>
        <w:jc w:val="both"/>
      </w:pPr>
      <w:r>
        <w:rPr>
          <w:sz w:val="21"/>
        </w:rPr>
        <w:t>1</w:t>
      </w:r>
      <w:r>
        <w:rPr>
          <w:sz w:val="21"/>
        </w:rPr>
        <w:t>.3</w:t>
      </w:r>
      <w:r>
        <w:rPr>
          <w:sz w:val="21"/>
        </w:rPr>
        <w:t>所有允许调整造价的工程内容，必须得到现场监理工程师</w:t>
      </w:r>
      <w:r>
        <w:rPr>
          <w:sz w:val="21"/>
        </w:rPr>
        <w:t>/</w:t>
      </w:r>
      <w:r>
        <w:rPr>
          <w:sz w:val="21"/>
        </w:rPr>
        <w:t>甲方的书面确认或签证，由乙方按磋商文件要求编制合同外追加价款，作为合同价外工程款支付的依据。</w:t>
      </w:r>
    </w:p>
    <w:p>
      <w:pPr>
        <w:jc w:val="both"/>
      </w:pPr>
      <w:r>
        <w:rPr>
          <w:b/>
          <w:sz w:val="21"/>
        </w:rPr>
        <w:t>第十一条</w:t>
      </w:r>
      <w:r>
        <w:rPr>
          <w:b/>
          <w:sz w:val="21"/>
        </w:rPr>
        <w:t>付款方式</w:t>
      </w:r>
    </w:p>
    <w:p>
      <w:pPr>
        <w:ind w:firstLine="420"/>
        <w:jc w:val="left"/>
      </w:pPr>
      <w:r>
        <w:rPr>
          <w:color w:val="000000"/>
          <w:sz w:val="21"/>
        </w:rPr>
        <w:t>工程项目付款方式：</w:t>
      </w:r>
    </w:p>
    <w:p>
      <w:pPr>
        <w:ind w:firstLine="420"/>
        <w:jc w:val="left"/>
      </w:pPr>
      <w:r>
        <w:rPr>
          <w:color w:val="000000"/>
          <w:sz w:val="21"/>
        </w:rPr>
        <w:t>1.本项目按固定总</w:t>
      </w:r>
      <w:r>
        <w:rPr>
          <w:sz w:val="21"/>
        </w:rPr>
        <w:t>价包干、项目措施费包干结算。</w:t>
      </w:r>
    </w:p>
    <w:p>
      <w:pPr>
        <w:ind w:firstLine="420"/>
        <w:jc w:val="left"/>
      </w:pPr>
      <w:r>
        <w:rPr>
          <w:sz w:val="21"/>
        </w:rPr>
        <w:t>2.工程款于合同签订后甲方分五期支付给乙方。</w:t>
      </w:r>
    </w:p>
    <w:p>
      <w:pPr>
        <w:ind w:firstLine="420"/>
        <w:jc w:val="both"/>
      </w:pPr>
      <w:r>
        <w:rPr>
          <w:sz w:val="21"/>
        </w:rPr>
        <w:t>3.第一期工程进度款于</w:t>
      </w:r>
      <w:r>
        <w:rPr>
          <w:sz w:val="21"/>
        </w:rPr>
        <w:t>合同签订后</w:t>
      </w:r>
      <w:r>
        <w:rPr>
          <w:sz w:val="21"/>
        </w:rPr>
        <w:t>5</w:t>
      </w:r>
      <w:r>
        <w:rPr>
          <w:sz w:val="21"/>
        </w:rPr>
        <w:t>个工作</w:t>
      </w:r>
      <w:r>
        <w:rPr>
          <w:sz w:val="21"/>
        </w:rPr>
        <w:t>日内甲方凭乙方提供的</w:t>
      </w:r>
      <w:r>
        <w:rPr>
          <w:sz w:val="21"/>
        </w:rPr>
        <w:t>30％总工程款的等额发票支付。</w:t>
      </w:r>
    </w:p>
    <w:p>
      <w:pPr>
        <w:ind w:firstLine="420"/>
        <w:jc w:val="both"/>
      </w:pPr>
      <w:r>
        <w:rPr>
          <w:sz w:val="21"/>
        </w:rPr>
        <w:t>4.第二期工程进度款于工程完成60％进度后（由监理人确认），甲方凭</w:t>
      </w:r>
      <w:r>
        <w:rPr>
          <w:sz w:val="21"/>
        </w:rPr>
        <w:t>乙方</w:t>
      </w:r>
      <w:r>
        <w:rPr>
          <w:sz w:val="21"/>
        </w:rPr>
        <w:t>提供的</w:t>
      </w:r>
      <w:r>
        <w:rPr>
          <w:sz w:val="21"/>
        </w:rPr>
        <w:t>30％总工程款的等额发票在15日内支付。</w:t>
      </w:r>
    </w:p>
    <w:p>
      <w:pPr>
        <w:ind w:firstLine="420"/>
        <w:jc w:val="both"/>
      </w:pPr>
      <w:r>
        <w:rPr>
          <w:color w:val="000000"/>
          <w:sz w:val="21"/>
        </w:rPr>
        <w:t>5.第三期工程进度款于工程全部完工验收合格后，甲方凭</w:t>
      </w:r>
      <w:r>
        <w:rPr>
          <w:color w:val="000000"/>
          <w:sz w:val="21"/>
        </w:rPr>
        <w:t>乙方</w:t>
      </w:r>
      <w:r>
        <w:rPr>
          <w:color w:val="000000"/>
          <w:sz w:val="21"/>
        </w:rPr>
        <w:t>提供的</w:t>
      </w:r>
      <w:r>
        <w:rPr>
          <w:color w:val="000000"/>
          <w:sz w:val="21"/>
        </w:rPr>
        <w:t>2</w:t>
      </w:r>
      <w:r>
        <w:rPr>
          <w:color w:val="000000"/>
          <w:sz w:val="21"/>
        </w:rPr>
        <w:t>0％总工程款的等额发票在15日内支付。</w:t>
      </w:r>
    </w:p>
    <w:p>
      <w:pPr>
        <w:ind w:firstLine="420"/>
        <w:jc w:val="both"/>
      </w:pPr>
      <w:r>
        <w:rPr>
          <w:color w:val="000000"/>
          <w:sz w:val="21"/>
        </w:rPr>
        <w:t>6.第四期工程进度款于乙方向</w:t>
      </w:r>
      <w:r>
        <w:rPr>
          <w:color w:val="000000"/>
          <w:sz w:val="21"/>
        </w:rPr>
        <w:t>采购人</w:t>
      </w:r>
      <w:r>
        <w:rPr>
          <w:color w:val="000000"/>
          <w:sz w:val="21"/>
        </w:rPr>
        <w:t>提交工程结算资料、工程结算书，经有资质的咨询公司审核后支付，金额支付到审核结算造价金额的</w:t>
      </w:r>
      <w:r>
        <w:rPr>
          <w:color w:val="000000"/>
          <w:sz w:val="21"/>
        </w:rPr>
        <w:t>97%。甲方凭</w:t>
      </w:r>
      <w:r>
        <w:rPr>
          <w:color w:val="000000"/>
          <w:sz w:val="21"/>
        </w:rPr>
        <w:t>乙方</w:t>
      </w:r>
      <w:r>
        <w:rPr>
          <w:color w:val="000000"/>
          <w:sz w:val="21"/>
        </w:rPr>
        <w:t>提供的等额发票在</w:t>
      </w:r>
      <w:r>
        <w:rPr>
          <w:color w:val="000000"/>
          <w:sz w:val="21"/>
        </w:rPr>
        <w:t>15日内支付，同时</w:t>
      </w:r>
      <w:r>
        <w:rPr>
          <w:sz w:val="21"/>
        </w:rPr>
        <w:t>由甲方以非现金形式无息退还乙方的履约保证金</w:t>
      </w:r>
      <w:r>
        <w:rPr>
          <w:color w:val="000000"/>
          <w:sz w:val="21"/>
        </w:rPr>
        <w:t>。</w:t>
      </w:r>
    </w:p>
    <w:p>
      <w:pPr>
        <w:ind w:firstLine="420"/>
        <w:jc w:val="left"/>
      </w:pPr>
      <w:r>
        <w:rPr>
          <w:color w:val="000000"/>
          <w:sz w:val="21"/>
        </w:rPr>
        <w:t>7.第五期工程款作为工程质保金，金额为审核结算造价金额的3%，于工程验收合格满二年且没有发现质量问题，甲方于7个工作日内凭</w:t>
      </w:r>
      <w:r>
        <w:rPr>
          <w:color w:val="000000"/>
          <w:sz w:val="21"/>
        </w:rPr>
        <w:t>乙方</w:t>
      </w:r>
      <w:r>
        <w:rPr>
          <w:color w:val="000000"/>
          <w:sz w:val="21"/>
        </w:rPr>
        <w:t>提供的等额发票支付。</w:t>
      </w:r>
    </w:p>
    <w:p>
      <w:pPr>
        <w:ind w:firstLine="420"/>
        <w:jc w:val="left"/>
      </w:pPr>
      <w:r>
        <w:rPr>
          <w:color w:val="000000"/>
          <w:sz w:val="21"/>
        </w:rPr>
        <w:t>8.乙方凭以下有效的文件由甲方在规定时间内付款。</w:t>
      </w:r>
    </w:p>
    <w:p>
      <w:pPr>
        <w:ind w:firstLine="420"/>
        <w:jc w:val="left"/>
      </w:pPr>
      <w:r>
        <w:rPr>
          <w:color w:val="000000"/>
          <w:sz w:val="21"/>
        </w:rPr>
        <w:t>8.1合同复印件；</w:t>
      </w:r>
    </w:p>
    <w:p>
      <w:pPr>
        <w:ind w:firstLine="420"/>
        <w:jc w:val="left"/>
      </w:pPr>
      <w:r>
        <w:rPr>
          <w:color w:val="000000"/>
          <w:sz w:val="21"/>
        </w:rPr>
        <w:t>8.2乙方开具的正式发票。</w:t>
      </w:r>
    </w:p>
    <w:p>
      <w:pPr>
        <w:ind w:firstLine="420"/>
        <w:jc w:val="both"/>
      </w:pPr>
      <w:r>
        <w:rPr>
          <w:color w:val="000000"/>
          <w:sz w:val="21"/>
        </w:rPr>
        <w:t>8.3验收报告（加盖甲方公章）。</w:t>
      </w:r>
    </w:p>
    <w:p>
      <w:pPr>
        <w:jc w:val="both"/>
      </w:pPr>
      <w:r>
        <w:rPr>
          <w:b/>
          <w:sz w:val="21"/>
        </w:rPr>
        <w:t>第十二条</w:t>
      </w:r>
      <w:r>
        <w:rPr>
          <w:b/>
          <w:sz w:val="21"/>
        </w:rPr>
        <w:t>违约责任</w:t>
      </w:r>
    </w:p>
    <w:p>
      <w:pPr>
        <w:ind w:firstLine="420"/>
        <w:jc w:val="both"/>
      </w:pPr>
      <w:r>
        <w:rPr>
          <w:sz w:val="21"/>
        </w:rPr>
        <w:t>1</w:t>
      </w:r>
      <w:r>
        <w:rPr>
          <w:sz w:val="21"/>
        </w:rPr>
        <w:t>、任何一方终止合同，按工程造价的</w:t>
      </w:r>
      <w:r>
        <w:rPr>
          <w:sz w:val="21"/>
        </w:rPr>
        <w:t>10%</w:t>
      </w:r>
      <w:r>
        <w:rPr>
          <w:sz w:val="21"/>
        </w:rPr>
        <w:t>向对方偿付违约金。但如果一方严重违反合同，并在收到对方违约通知书后在</w:t>
      </w:r>
      <w:r>
        <w:rPr>
          <w:sz w:val="21"/>
        </w:rPr>
        <w:t>30</w:t>
      </w:r>
      <w:r>
        <w:rPr>
          <w:sz w:val="21"/>
        </w:rPr>
        <w:t>天内仍未能改正违约的，另一方可立即终止本合同。</w:t>
      </w:r>
    </w:p>
    <w:p>
      <w:pPr>
        <w:ind w:firstLine="420"/>
        <w:jc w:val="both"/>
      </w:pPr>
      <w:r>
        <w:rPr>
          <w:sz w:val="21"/>
        </w:rPr>
        <w:t>2</w:t>
      </w:r>
      <w:r>
        <w:rPr>
          <w:sz w:val="21"/>
        </w:rPr>
        <w:t>、甲方出现以下情形的，其损失由甲方承担，工期顺延。（</w:t>
      </w:r>
      <w:r>
        <w:rPr>
          <w:sz w:val="21"/>
        </w:rPr>
        <w:t>1</w:t>
      </w:r>
      <w:r>
        <w:rPr>
          <w:sz w:val="21"/>
        </w:rPr>
        <w:t>）不按期支付工程款；（</w:t>
      </w:r>
      <w:r>
        <w:rPr>
          <w:sz w:val="21"/>
        </w:rPr>
        <w:t>2</w:t>
      </w:r>
      <w:r>
        <w:rPr>
          <w:sz w:val="21"/>
        </w:rPr>
        <w:t>）因工程量清单变更，使已完成的工程拆改；（</w:t>
      </w:r>
      <w:r>
        <w:rPr>
          <w:sz w:val="21"/>
        </w:rPr>
        <w:t>3</w:t>
      </w:r>
      <w:r>
        <w:rPr>
          <w:sz w:val="21"/>
        </w:rPr>
        <w:t>）逾期验收；（</w:t>
      </w:r>
      <w:r>
        <w:rPr>
          <w:sz w:val="21"/>
        </w:rPr>
        <w:t>4</w:t>
      </w:r>
      <w:r>
        <w:rPr>
          <w:sz w:val="21"/>
        </w:rPr>
        <w:t>）其他甲方原因造成的。</w:t>
      </w:r>
    </w:p>
    <w:p>
      <w:pPr>
        <w:ind w:firstLine="420"/>
        <w:jc w:val="both"/>
      </w:pPr>
      <w:r>
        <w:rPr>
          <w:sz w:val="21"/>
        </w:rPr>
        <w:t>3</w:t>
      </w:r>
      <w:r>
        <w:rPr>
          <w:sz w:val="21"/>
        </w:rPr>
        <w:t>、乙方责任造成的停工、返工，材料、器材损失均由乙方承担。因乙方原因逾期竣工的，从逾期次日起，每逾期一天，乙方需按合同金额的</w:t>
      </w:r>
      <w:r>
        <w:rPr>
          <w:sz w:val="21"/>
          <w:u w:val="single"/>
        </w:rPr>
        <w:t>2%</w:t>
      </w:r>
      <w:r>
        <w:rPr>
          <w:sz w:val="21"/>
        </w:rPr>
        <w:t>向甲方偿付违约金。</w:t>
      </w:r>
    </w:p>
    <w:p>
      <w:pPr>
        <w:ind w:firstLine="420"/>
        <w:jc w:val="both"/>
      </w:pPr>
      <w:r>
        <w:rPr>
          <w:sz w:val="21"/>
        </w:rPr>
        <w:t>4</w:t>
      </w:r>
      <w:r>
        <w:rPr>
          <w:sz w:val="21"/>
        </w:rPr>
        <w:t>、遇不可抗力，双方需在尽可能的情况下采取保全措施，并及时通知对方。</w:t>
      </w:r>
    </w:p>
    <w:p>
      <w:pPr>
        <w:jc w:val="both"/>
      </w:pPr>
      <w:r>
        <w:rPr>
          <w:b/>
          <w:sz w:val="21"/>
        </w:rPr>
        <w:t>第十三条</w:t>
      </w:r>
      <w:r>
        <w:rPr>
          <w:b/>
          <w:sz w:val="21"/>
        </w:rPr>
        <w:t>其他约定条款</w:t>
      </w:r>
    </w:p>
    <w:p>
      <w:pPr>
        <w:ind w:firstLine="420"/>
        <w:jc w:val="both"/>
      </w:pPr>
      <w:r>
        <w:rPr>
          <w:sz w:val="21"/>
        </w:rPr>
        <w:t>1</w:t>
      </w:r>
      <w:r>
        <w:rPr>
          <w:sz w:val="21"/>
        </w:rPr>
        <w:t>、本工程的磋商文件、乙方的响应文件是合同的组成部分。</w:t>
      </w:r>
    </w:p>
    <w:p>
      <w:pPr>
        <w:ind w:firstLine="420"/>
        <w:jc w:val="both"/>
      </w:pPr>
      <w:r>
        <w:rPr>
          <w:sz w:val="21"/>
        </w:rPr>
        <w:t>2</w:t>
      </w:r>
      <w:r>
        <w:rPr>
          <w:sz w:val="21"/>
        </w:rPr>
        <w:t>、乙方应按有关规定，采取严格的安全防护措施，并承担由于自身安全措施不力造成事故的责任和因此发生的费用。</w:t>
      </w:r>
    </w:p>
    <w:p>
      <w:pPr>
        <w:ind w:firstLine="420"/>
        <w:jc w:val="both"/>
      </w:pPr>
      <w:r>
        <w:rPr>
          <w:sz w:val="21"/>
        </w:rPr>
        <w:t>3</w:t>
      </w:r>
      <w:r>
        <w:rPr>
          <w:sz w:val="21"/>
        </w:rPr>
        <w:t>、乙方因其材料设备、机械损坏及停工等事项造成损失的，损失费用由乙方承担。</w:t>
      </w:r>
    </w:p>
    <w:p>
      <w:pPr>
        <w:ind w:firstLine="420"/>
        <w:jc w:val="both"/>
      </w:pPr>
      <w:r>
        <w:rPr>
          <w:sz w:val="21"/>
        </w:rPr>
        <w:t>4</w:t>
      </w:r>
      <w:r>
        <w:rPr>
          <w:sz w:val="21"/>
        </w:rPr>
        <w:t>、未经甲方书面同意，乙方擅自拆改原建筑物结构或设备、管线和其他附着物，由此发生的事故或造成的损失（包括罚款），由乙方承担责任并赔偿损失。</w:t>
      </w:r>
    </w:p>
    <w:p>
      <w:pPr>
        <w:ind w:firstLine="420"/>
        <w:jc w:val="both"/>
      </w:pPr>
      <w:r>
        <w:rPr>
          <w:sz w:val="21"/>
        </w:rPr>
        <w:t>5</w:t>
      </w:r>
      <w:r>
        <w:rPr>
          <w:sz w:val="21"/>
        </w:rPr>
        <w:t>、每日施工后，乙方要收整现场，并清理余泥杂物。</w:t>
      </w:r>
    </w:p>
    <w:p>
      <w:pPr>
        <w:ind w:firstLine="420"/>
        <w:jc w:val="both"/>
      </w:pPr>
      <w:r>
        <w:rPr>
          <w:sz w:val="21"/>
        </w:rPr>
        <w:t>6</w:t>
      </w:r>
      <w:r>
        <w:rPr>
          <w:sz w:val="21"/>
        </w:rPr>
        <w:t>、乙方应做好文明施工工作及安全保卫工作，所有施工人员进场作业，必须办理出入证件等。</w:t>
      </w:r>
    </w:p>
    <w:p>
      <w:pPr>
        <w:jc w:val="both"/>
      </w:pPr>
      <w:r>
        <w:rPr>
          <w:b/>
          <w:sz w:val="21"/>
        </w:rPr>
        <w:t>第十四条</w:t>
      </w:r>
      <w:r>
        <w:rPr>
          <w:b/>
          <w:sz w:val="21"/>
        </w:rPr>
        <w:t>争议及解决办法；</w:t>
      </w:r>
    </w:p>
    <w:p>
      <w:pPr>
        <w:ind w:firstLine="420"/>
        <w:jc w:val="both"/>
      </w:pPr>
      <w:r>
        <w:rPr>
          <w:sz w:val="21"/>
        </w:rPr>
        <w:t>1</w:t>
      </w:r>
      <w:r>
        <w:rPr>
          <w:sz w:val="21"/>
        </w:rPr>
        <w:t>、本合同适用法律为中华人民共和国现行法律、法规。</w:t>
      </w:r>
    </w:p>
    <w:p>
      <w:pPr>
        <w:ind w:firstLine="420"/>
        <w:jc w:val="both"/>
      </w:pPr>
      <w:r>
        <w:rPr>
          <w:sz w:val="21"/>
        </w:rPr>
        <w:t>2</w:t>
      </w:r>
      <w:r>
        <w:rPr>
          <w:sz w:val="21"/>
        </w:rPr>
        <w:t>、如履行本合同过程中发生争议的，由双方当事人协商解决。协商不成时，任何一方有权向甲方所在地人民法院提起诉讼。</w:t>
      </w:r>
    </w:p>
    <w:p>
      <w:pPr>
        <w:ind w:firstLine="420"/>
        <w:jc w:val="both"/>
      </w:pPr>
      <w:r>
        <w:rPr>
          <w:sz w:val="21"/>
        </w:rPr>
        <w:t>3</w:t>
      </w:r>
      <w:r>
        <w:rPr>
          <w:sz w:val="21"/>
        </w:rPr>
        <w:t>、合同履行时发生争议，双方都应继续履行合同，保持施工连续，并保护好已完工程，否则违约方应承担违约责任。</w:t>
      </w:r>
    </w:p>
    <w:p>
      <w:pPr>
        <w:jc w:val="both"/>
      </w:pPr>
      <w:r>
        <w:rPr>
          <w:b/>
          <w:sz w:val="21"/>
        </w:rPr>
        <w:t>第十五条</w:t>
      </w:r>
      <w:r>
        <w:rPr>
          <w:b/>
          <w:sz w:val="21"/>
        </w:rPr>
        <w:t>合同有效期</w:t>
      </w:r>
    </w:p>
    <w:p>
      <w:pPr>
        <w:ind w:firstLine="420"/>
        <w:jc w:val="both"/>
      </w:pPr>
      <w:r>
        <w:rPr>
          <w:sz w:val="21"/>
        </w:rPr>
        <w:t>1</w:t>
      </w:r>
      <w:r>
        <w:rPr>
          <w:sz w:val="21"/>
        </w:rPr>
        <w:t>、本合同经甲方盖章，乙方签字盖章后生效，至工程竣工验收合格，保修期满并结清款项后失效。</w:t>
      </w:r>
    </w:p>
    <w:p>
      <w:pPr>
        <w:ind w:firstLine="420"/>
        <w:jc w:val="both"/>
      </w:pPr>
      <w:r>
        <w:rPr>
          <w:sz w:val="21"/>
        </w:rPr>
        <w:t>2</w:t>
      </w:r>
      <w:r>
        <w:rPr>
          <w:sz w:val="21"/>
        </w:rPr>
        <w:t>、合同一式陆份，甲乙双方各执叁份，均具有同等法律效力。</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185"/>
        <w:gridCol w:w="2227"/>
        <w:gridCol w:w="1336"/>
        <w:gridCol w:w="1336"/>
        <w:gridCol w:w="891"/>
        <w:gridCol w:w="1331"/>
      </w:tblGrid>
      <w:tr>
        <w:tc>
          <w:tcPr>
            <w:tcW w:type="dxa" w:w="1185"/>
            <w:tcBorders>
              <w:top w:val="single" w:color="000000" w:sz="4"/>
              <w:left w:val="single" w:color="000000" w:sz="4"/>
              <w:bottom w:val="single" w:color="000000" w:sz="4"/>
              <w:right w:val="single" w:color="000000" w:sz="4"/>
            </w:tcBorders>
            <w:vAlign w:val="top"/>
          </w:tcPr>
          <w:p>
            <w:pPr>
              <w:jc w:val="center"/>
            </w:pPr>
            <w:r>
              <w:rPr>
                <w:color w:val="000000"/>
                <w:sz w:val="21"/>
              </w:rPr>
              <w:t>甲方（章）</w:t>
            </w:r>
          </w:p>
        </w:tc>
        <w:tc>
          <w:tcPr>
            <w:tcW w:type="dxa" w:w="2227"/>
            <w:tcBorders>
              <w:top w:val="single" w:color="000000" w:sz="4"/>
              <w:left w:val="single" w:color="000000" w:sz="4"/>
              <w:bottom w:val="single" w:color="000000" w:sz="4"/>
              <w:right w:val="single" w:color="000000" w:sz="4"/>
            </w:tcBorders>
            <w:vAlign w:val="top"/>
          </w:tcPr>
          <w:p>
            <w:pPr>
              <w:jc w:val="center"/>
            </w:pPr>
          </w:p>
        </w:tc>
        <w:tc>
          <w:tcPr>
            <w:tcW w:type="dxa" w:w="1336"/>
            <w:tcBorders>
              <w:top w:val="single" w:color="000000" w:sz="4"/>
              <w:left w:val="single" w:color="000000" w:sz="4"/>
              <w:bottom w:val="single" w:color="000000" w:sz="4"/>
              <w:right w:val="single" w:color="000000" w:sz="4"/>
            </w:tcBorders>
            <w:vAlign w:val="top"/>
          </w:tcPr>
          <w:p>
            <w:pPr>
              <w:jc w:val="center"/>
            </w:pPr>
            <w:r>
              <w:rPr>
                <w:color w:val="000000"/>
                <w:sz w:val="21"/>
              </w:rPr>
              <w:t>乙方（章）</w:t>
            </w:r>
          </w:p>
        </w:tc>
        <w:tc>
          <w:tcPr>
            <w:tcW w:type="dxa" w:w="3558"/>
            <w:gridSpan w:val="3"/>
            <w:tcBorders>
              <w:top w:val="single" w:color="000000" w:sz="4"/>
              <w:left w:val="single" w:color="000000" w:sz="4"/>
              <w:bottom w:val="single" w:color="000000" w:sz="4"/>
              <w:right w:val="single" w:color="000000" w:sz="4"/>
            </w:tcBorders>
            <w:vAlign w:val="top"/>
          </w:tcPr>
          <w:p>
            <w:pPr>
              <w:jc w:val="center"/>
            </w:pPr>
          </w:p>
        </w:tc>
      </w:tr>
      <w:tr>
        <w:tc>
          <w:tcPr>
            <w:tcW w:type="dxa" w:w="3412"/>
            <w:gridSpan w:val="2"/>
            <w:tcBorders>
              <w:top w:val="none" w:color="000000" w:sz="4"/>
              <w:left w:val="single" w:color="000000" w:sz="4"/>
              <w:bottom w:val="single" w:color="000000" w:sz="4"/>
              <w:right w:val="single" w:color="000000" w:sz="4"/>
            </w:tcBorders>
            <w:vAlign w:val="top"/>
          </w:tcPr>
          <w:p>
            <w:pPr>
              <w:jc w:val="center"/>
            </w:pPr>
          </w:p>
        </w:tc>
        <w:tc>
          <w:tcPr>
            <w:tcW w:type="dxa" w:w="1336"/>
            <w:tcBorders>
              <w:top w:val="none" w:color="000000" w:sz="4"/>
              <w:left w:val="single" w:color="000000" w:sz="4"/>
              <w:bottom w:val="single" w:color="000000" w:sz="4"/>
              <w:right w:val="single" w:color="000000" w:sz="4"/>
            </w:tcBorders>
            <w:vAlign w:val="top"/>
          </w:tcPr>
          <w:p>
            <w:pPr>
              <w:jc w:val="center"/>
            </w:pPr>
            <w:r>
              <w:rPr>
                <w:color w:val="000000"/>
                <w:sz w:val="21"/>
              </w:rPr>
              <w:t>法定代表人</w:t>
            </w:r>
          </w:p>
        </w:tc>
        <w:tc>
          <w:tcPr>
            <w:tcW w:type="dxa" w:w="1336"/>
            <w:tcBorders>
              <w:top w:val="none" w:color="000000" w:sz="4"/>
              <w:left w:val="single" w:color="000000" w:sz="4"/>
              <w:bottom w:val="single" w:color="000000" w:sz="4"/>
              <w:right w:val="single" w:color="000000" w:sz="4"/>
            </w:tcBorders>
            <w:vAlign w:val="top"/>
          </w:tcPr>
          <w:p>
            <w:pPr>
              <w:jc w:val="center"/>
            </w:pPr>
          </w:p>
        </w:tc>
        <w:tc>
          <w:tcPr>
            <w:tcW w:type="dxa" w:w="891"/>
            <w:tcBorders>
              <w:top w:val="none" w:color="000000" w:sz="4"/>
              <w:left w:val="single" w:color="000000" w:sz="4"/>
              <w:bottom w:val="single" w:color="000000" w:sz="4"/>
              <w:right w:val="single" w:color="000000" w:sz="4"/>
            </w:tcBorders>
            <w:vAlign w:val="top"/>
          </w:tcPr>
          <w:p>
            <w:pPr>
              <w:jc w:val="center"/>
            </w:pPr>
            <w:r>
              <w:rPr>
                <w:color w:val="000000"/>
                <w:sz w:val="21"/>
              </w:rPr>
              <w:t>签约人</w:t>
            </w:r>
          </w:p>
        </w:tc>
        <w:tc>
          <w:tcPr>
            <w:tcW w:type="dxa" w:w="1331"/>
            <w:tcBorders>
              <w:top w:val="single" w:color="000000" w:sz="4"/>
              <w:left w:val="single" w:color="000000" w:sz="4"/>
              <w:bottom w:val="single" w:color="000000" w:sz="4"/>
              <w:right w:val="single" w:color="000000" w:sz="4"/>
            </w:tcBorders>
            <w:vAlign w:val="top"/>
          </w:tcPr>
          <w:p>
            <w:pPr>
              <w:jc w:val="center"/>
            </w:pPr>
          </w:p>
        </w:tc>
      </w:tr>
      <w:tr>
        <w:tc>
          <w:tcPr>
            <w:tcW w:type="dxa" w:w="1185"/>
            <w:tcBorders>
              <w:top w:val="none" w:color="000000" w:sz="4"/>
              <w:left w:val="single" w:color="000000" w:sz="4"/>
              <w:bottom w:val="single" w:color="000000" w:sz="4"/>
              <w:right w:val="single" w:color="000000" w:sz="4"/>
            </w:tcBorders>
            <w:vAlign w:val="top"/>
          </w:tcPr>
          <w:p>
            <w:pPr>
              <w:jc w:val="center"/>
            </w:pPr>
            <w:r>
              <w:rPr>
                <w:color w:val="000000"/>
                <w:sz w:val="21"/>
              </w:rPr>
              <w:t>地址</w:t>
            </w:r>
          </w:p>
        </w:tc>
        <w:tc>
          <w:tcPr>
            <w:tcW w:type="dxa" w:w="2227"/>
            <w:tcBorders>
              <w:top w:val="none" w:color="000000" w:sz="4"/>
              <w:left w:val="single" w:color="000000" w:sz="4"/>
              <w:bottom w:val="single" w:color="000000" w:sz="4"/>
              <w:right w:val="single" w:color="000000" w:sz="4"/>
            </w:tcBorders>
            <w:vAlign w:val="top"/>
          </w:tcPr>
          <w:p>
            <w:pPr>
              <w:jc w:val="center"/>
            </w:pPr>
          </w:p>
        </w:tc>
        <w:tc>
          <w:tcPr>
            <w:tcW w:type="dxa" w:w="1336"/>
            <w:tcBorders>
              <w:top w:val="none" w:color="000000" w:sz="4"/>
              <w:left w:val="single" w:color="000000" w:sz="4"/>
              <w:bottom w:val="single" w:color="000000" w:sz="4"/>
              <w:right w:val="single" w:color="000000" w:sz="4"/>
            </w:tcBorders>
            <w:vAlign w:val="top"/>
          </w:tcPr>
          <w:p>
            <w:pPr>
              <w:jc w:val="center"/>
            </w:pPr>
            <w:r>
              <w:rPr>
                <w:color w:val="000000"/>
                <w:sz w:val="21"/>
              </w:rPr>
              <w:t>地址</w:t>
            </w:r>
          </w:p>
        </w:tc>
        <w:tc>
          <w:tcPr>
            <w:tcW w:type="dxa" w:w="3558"/>
            <w:gridSpan w:val="3"/>
            <w:tcBorders>
              <w:top w:val="none" w:color="000000" w:sz="4"/>
              <w:left w:val="single" w:color="000000" w:sz="4"/>
              <w:bottom w:val="single" w:color="000000" w:sz="4"/>
              <w:right w:val="single" w:color="000000" w:sz="4"/>
            </w:tcBorders>
            <w:vAlign w:val="top"/>
          </w:tcPr>
          <w:p>
            <w:pPr>
              <w:jc w:val="center"/>
            </w:pPr>
          </w:p>
        </w:tc>
      </w:tr>
      <w:tr>
        <w:tc>
          <w:tcPr>
            <w:tcW w:type="dxa" w:w="1185"/>
            <w:tcBorders>
              <w:top w:val="none" w:color="000000" w:sz="4"/>
              <w:left w:val="single" w:color="000000" w:sz="4"/>
              <w:bottom w:val="single" w:color="000000" w:sz="4"/>
              <w:right w:val="single" w:color="000000" w:sz="4"/>
            </w:tcBorders>
            <w:vAlign w:val="top"/>
          </w:tcPr>
          <w:p>
            <w:pPr>
              <w:jc w:val="center"/>
            </w:pPr>
            <w:r>
              <w:rPr>
                <w:color w:val="000000"/>
                <w:sz w:val="21"/>
              </w:rPr>
              <w:t>电</w:t>
            </w:r>
            <w:r>
              <w:rPr>
                <w:color w:val="000000"/>
                <w:sz w:val="21"/>
              </w:rPr>
              <w:t xml:space="preserve">  </w:t>
            </w:r>
            <w:r>
              <w:rPr>
                <w:color w:val="000000"/>
                <w:sz w:val="21"/>
              </w:rPr>
              <w:t>话</w:t>
            </w:r>
          </w:p>
        </w:tc>
        <w:tc>
          <w:tcPr>
            <w:tcW w:type="dxa" w:w="2227"/>
            <w:tcBorders>
              <w:top w:val="none" w:color="000000" w:sz="4"/>
              <w:left w:val="single" w:color="000000" w:sz="4"/>
              <w:bottom w:val="single" w:color="000000" w:sz="4"/>
              <w:right w:val="single" w:color="000000" w:sz="4"/>
            </w:tcBorders>
            <w:vAlign w:val="top"/>
          </w:tcPr>
          <w:p>
            <w:pPr>
              <w:jc w:val="center"/>
            </w:pPr>
          </w:p>
        </w:tc>
        <w:tc>
          <w:tcPr>
            <w:tcW w:type="dxa" w:w="1336"/>
            <w:tcBorders>
              <w:top w:val="none" w:color="000000" w:sz="4"/>
              <w:left w:val="single" w:color="000000" w:sz="4"/>
              <w:bottom w:val="single" w:color="000000" w:sz="4"/>
              <w:right w:val="single" w:color="000000" w:sz="4"/>
            </w:tcBorders>
            <w:vAlign w:val="top"/>
          </w:tcPr>
          <w:p>
            <w:pPr>
              <w:jc w:val="center"/>
            </w:pPr>
            <w:r>
              <w:rPr>
                <w:color w:val="000000"/>
                <w:sz w:val="21"/>
              </w:rPr>
              <w:t>电</w:t>
            </w:r>
            <w:r>
              <w:rPr>
                <w:color w:val="000000"/>
                <w:sz w:val="21"/>
              </w:rPr>
              <w:t xml:space="preserve">   </w:t>
            </w:r>
            <w:r>
              <w:rPr>
                <w:color w:val="000000"/>
                <w:sz w:val="21"/>
              </w:rPr>
              <w:t>话</w:t>
            </w:r>
          </w:p>
        </w:tc>
        <w:tc>
          <w:tcPr>
            <w:tcW w:type="dxa" w:w="3558"/>
            <w:gridSpan w:val="3"/>
            <w:tcBorders>
              <w:top w:val="none" w:color="000000" w:sz="4"/>
              <w:left w:val="single" w:color="000000" w:sz="4"/>
              <w:bottom w:val="single" w:color="000000" w:sz="4"/>
              <w:right w:val="single" w:color="000000" w:sz="4"/>
            </w:tcBorders>
            <w:vAlign w:val="top"/>
          </w:tcPr>
          <w:p>
            <w:pPr>
              <w:jc w:val="center"/>
            </w:pPr>
          </w:p>
        </w:tc>
      </w:tr>
      <w:tr>
        <w:tc>
          <w:tcPr>
            <w:tcW w:type="dxa" w:w="3412"/>
            <w:gridSpan w:val="2"/>
            <w:vMerge w:val="restart"/>
            <w:tcBorders>
              <w:top w:val="none" w:color="000000" w:sz="4"/>
              <w:left w:val="single" w:color="000000" w:sz="4"/>
              <w:bottom w:val="single" w:color="000000" w:sz="4"/>
              <w:right w:val="single" w:color="000000" w:sz="4"/>
            </w:tcBorders>
            <w:vAlign w:val="top"/>
          </w:tcPr>
          <w:p>
            <w:pPr>
              <w:jc w:val="center"/>
            </w:pPr>
          </w:p>
          <w:p>
            <w:pPr>
              <w:jc w:val="center"/>
            </w:pPr>
          </w:p>
        </w:tc>
        <w:tc>
          <w:tcPr>
            <w:tcW w:type="dxa" w:w="1336"/>
            <w:tcBorders>
              <w:top w:val="none" w:color="000000" w:sz="4"/>
              <w:left w:val="single" w:color="000000" w:sz="4"/>
              <w:bottom w:val="single" w:color="000000" w:sz="4"/>
              <w:right w:val="single" w:color="000000" w:sz="4"/>
            </w:tcBorders>
            <w:vAlign w:val="top"/>
          </w:tcPr>
          <w:p>
            <w:pPr>
              <w:jc w:val="center"/>
            </w:pPr>
            <w:r>
              <w:rPr>
                <w:color w:val="000000"/>
                <w:sz w:val="21"/>
              </w:rPr>
              <w:t>开户银行</w:t>
            </w:r>
          </w:p>
          <w:p>
            <w:pPr>
              <w:jc w:val="center"/>
            </w:pPr>
            <w:r>
              <w:rPr>
                <w:color w:val="000000"/>
                <w:sz w:val="21"/>
              </w:rPr>
              <w:t>及账号</w:t>
            </w:r>
          </w:p>
        </w:tc>
        <w:tc>
          <w:tcPr>
            <w:tcW w:type="dxa" w:w="3558"/>
            <w:gridSpan w:val="3"/>
            <w:tcBorders>
              <w:top w:val="none" w:color="000000" w:sz="4"/>
              <w:left w:val="single" w:color="000000" w:sz="4"/>
              <w:bottom w:val="single" w:color="000000" w:sz="4"/>
              <w:right w:val="single" w:color="000000" w:sz="4"/>
            </w:tcBorders>
            <w:vAlign w:val="top"/>
          </w:tcPr>
          <w:p>
            <w:pPr>
              <w:jc w:val="center"/>
            </w:pPr>
          </w:p>
        </w:tc>
      </w:tr>
      <w:tr>
        <w:tc>
          <w:tcPr>
            <w:tcW w:type="dxa" w:w="3412"/>
            <w:gridSpan w:val="2"/>
            <w:vMerge/>
            <w:tcBorders>
              <w:top w:val="none" w:color="000000" w:sz="4"/>
              <w:left w:val="single" w:color="000000" w:sz="4"/>
              <w:bottom w:val="single" w:color="000000" w:sz="4"/>
              <w:right w:val="single" w:color="000000" w:sz="4"/>
            </w:tcBorders>
          </w:tcPr>
          <w:p/>
        </w:tc>
        <w:tc>
          <w:tcPr>
            <w:tcW w:type="dxa" w:w="1336"/>
            <w:tcBorders>
              <w:top w:val="none" w:color="000000" w:sz="4"/>
              <w:left w:val="single" w:color="000000" w:sz="4"/>
              <w:bottom w:val="single" w:color="000000" w:sz="4"/>
              <w:right w:val="single" w:color="000000" w:sz="4"/>
            </w:tcBorders>
            <w:vAlign w:val="top"/>
          </w:tcPr>
          <w:p>
            <w:pPr>
              <w:jc w:val="center"/>
            </w:pPr>
            <w:r>
              <w:rPr>
                <w:color w:val="000000"/>
                <w:sz w:val="21"/>
              </w:rPr>
              <w:t>税务编号</w:t>
            </w:r>
          </w:p>
        </w:tc>
        <w:tc>
          <w:tcPr>
            <w:tcW w:type="dxa" w:w="3558"/>
            <w:gridSpan w:val="3"/>
            <w:tcBorders>
              <w:top w:val="none" w:color="000000" w:sz="4"/>
              <w:left w:val="single" w:color="000000" w:sz="4"/>
              <w:bottom w:val="single" w:color="000000" w:sz="4"/>
              <w:right w:val="single" w:color="000000" w:sz="4"/>
            </w:tcBorders>
            <w:vAlign w:val="top"/>
          </w:tcPr>
          <w:p>
            <w:pPr>
              <w:jc w:val="center"/>
            </w:pPr>
          </w:p>
        </w:tc>
      </w:tr>
      <w:tr>
        <w:tc>
          <w:tcPr>
            <w:tcW w:type="dxa" w:w="1185"/>
            <w:tcBorders>
              <w:top w:val="none" w:color="000000" w:sz="4"/>
              <w:left w:val="single" w:color="000000" w:sz="4"/>
              <w:bottom w:val="single" w:color="000000" w:sz="4"/>
              <w:right w:val="single" w:color="000000" w:sz="4"/>
            </w:tcBorders>
            <w:vAlign w:val="top"/>
          </w:tcPr>
          <w:p>
            <w:pPr>
              <w:jc w:val="center"/>
            </w:pPr>
            <w:r>
              <w:rPr>
                <w:color w:val="000000"/>
                <w:sz w:val="21"/>
              </w:rPr>
              <w:t>签约日期</w:t>
            </w:r>
          </w:p>
        </w:tc>
        <w:tc>
          <w:tcPr>
            <w:tcW w:type="dxa" w:w="7121"/>
            <w:gridSpan w:val="5"/>
            <w:tcBorders>
              <w:top w:val="none" w:color="000000" w:sz="4"/>
              <w:left w:val="single" w:color="000000" w:sz="4"/>
              <w:bottom w:val="single" w:color="000000" w:sz="4"/>
              <w:right w:val="single" w:color="000000" w:sz="4"/>
            </w:tcBorders>
            <w:vAlign w:val="top"/>
          </w:tcPr>
          <w:p>
            <w:pPr>
              <w:jc w:val="center"/>
            </w:pPr>
          </w:p>
        </w:tc>
      </w:tr>
    </w:tbl>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440001-2024-05466</w:t>
      </w:r>
    </w:p>
    <w:p>
      <w:pPr>
        <w:jc w:val="center"/>
      </w:pPr>
      <w:r>
        <w:rPr>
          <w:b/>
          <w:sz w:val="24"/>
        </w:rPr>
        <w:t>采购项目编号：</w:t>
      </w:r>
      <w:r>
        <w:rPr>
          <w:b/>
          <w:sz w:val="24"/>
        </w:rPr>
        <w:t>GZGK24P019B0079C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南方医科大学口腔医院（广东省口腔医院）盘福院区更换10KV电缆工程</w:t>
      </w:r>
      <w:r>
        <w:rPr>
          <w:u w:val="single"/>
        </w:rPr>
        <w:t>”</w:t>
      </w:r>
      <w:r>
        <w:rPr/>
        <w:t>项目的竞争性磋商[采购项目编号为：</w:t>
      </w:r>
      <w:r>
        <w:rPr>
          <w:u w:val="single"/>
        </w:rPr>
        <w:t>GZGK24P019B0079C</w:t>
      </w:r>
      <w:r>
        <w:rPr/>
        <w:t>]，我方愿参与响应。</w:t>
      </w:r>
    </w:p>
    <w:p>
      <w:pPr>
        <w:ind w:firstLine="480"/>
      </w:pPr>
      <w:r>
        <w:rPr/>
        <w:t>我方确认收到贵方提供的</w:t>
      </w:r>
      <w:r>
        <w:rPr>
          <w:u w:val="single"/>
        </w:rPr>
        <w:t>“</w:t>
      </w:r>
      <w:r>
        <w:rPr>
          <w:u w:val="single"/>
        </w:rPr>
        <w:t>南方医科大学口腔医院（广东省口腔医院）盘福院区更换10KV电缆工程</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南方医科大学口腔医院（广东省口腔医院）盘福院区更换10KV电缆工程</w:t>
      </w:r>
      <w:r>
        <w:rPr/>
        <w:t>”项目采购[采购项目编号为</w:t>
      </w:r>
      <w:r>
        <w:rPr/>
        <w:t>GZGK24P019B0079C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南方医科大学口腔医院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南方医科大学口腔医院（广东省口腔医院）盘福院区更换10KV电缆工程</w:t>
      </w:r>
      <w:r>
        <w:rPr/>
        <w:t>（采购项目编号：</w:t>
      </w:r>
      <w:r>
        <w:rPr/>
        <w:t>GZGK24P019B0079C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南方医科大学口腔医院（广东省口腔医院）盘福院区更换10KV电缆工程</w:t>
      </w:r>
      <w:r>
        <w:rPr/>
        <w:t>”项目（采购项目编号：</w:t>
      </w:r>
      <w:r>
        <w:rPr/>
        <w:t>GZGK24P019B0079C</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